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F23CA0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VERZENIOS</w:t>
      </w:r>
      <w:r w:rsidR="00F5284F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(</w:t>
      </w:r>
      <w:r>
        <w:rPr>
          <w:rFonts w:ascii="Bookman Old Style" w:hAnsi="Bookman Old Style"/>
          <w:b/>
          <w:color w:val="FF0000"/>
          <w:sz w:val="32"/>
          <w:szCs w:val="32"/>
        </w:rPr>
        <w:t>ABEMACICLIB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F23CA0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VERZENIOS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F23CA0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ABEMACICLIB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485DCC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1F62B7">
        <w:rPr>
          <w:rFonts w:ascii="Bookman Old Style" w:hAnsi="Bookman Old Style"/>
          <w:color w:val="auto"/>
          <w:sz w:val="24"/>
          <w:szCs w:val="24"/>
        </w:rPr>
        <w:t>17</w:t>
      </w:r>
      <w:r w:rsidR="00F23CA0">
        <w:rPr>
          <w:rFonts w:ascii="Bookman Old Style" w:hAnsi="Bookman Old Style"/>
          <w:color w:val="auto"/>
          <w:sz w:val="24"/>
          <w:szCs w:val="24"/>
        </w:rPr>
        <w:t>75</w:t>
      </w:r>
      <w:r w:rsidRPr="00485DC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485DCC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485DCC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F23CA0">
        <w:rPr>
          <w:rFonts w:ascii="Bookman Old Style" w:hAnsi="Bookman Old Style"/>
          <w:color w:val="auto"/>
          <w:sz w:val="24"/>
          <w:szCs w:val="24"/>
        </w:rPr>
        <w:t>27/11/</w:t>
      </w:r>
      <w:r w:rsidR="001F62B7">
        <w:rPr>
          <w:rFonts w:ascii="Bookman Old Style" w:hAnsi="Bookman Old Style"/>
          <w:color w:val="auto"/>
          <w:sz w:val="24"/>
          <w:szCs w:val="24"/>
        </w:rPr>
        <w:t>2019</w:t>
      </w:r>
      <w:r w:rsidRPr="00485DCC">
        <w:rPr>
          <w:rFonts w:ascii="Bookman Old Style" w:hAnsi="Bookman Old Style"/>
          <w:color w:val="auto"/>
          <w:sz w:val="24"/>
          <w:szCs w:val="24"/>
        </w:rPr>
        <w:t>;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:rsidR="0035421E" w:rsidRPr="00B52635" w:rsidRDefault="0035421E" w:rsidP="001F62B7">
      <w:pPr>
        <w:pStyle w:val="Default"/>
        <w:jc w:val="both"/>
        <w:rPr>
          <w:rFonts w:ascii="Bookman Old Style" w:hAnsi="Bookman Old Style"/>
          <w:color w:val="auto"/>
        </w:rPr>
      </w:pPr>
      <w:r w:rsidRPr="00B52635">
        <w:rPr>
          <w:rFonts w:ascii="Bookman Old Style" w:hAnsi="Bookman Old Style"/>
          <w:b/>
          <w:color w:val="auto"/>
        </w:rPr>
        <w:t>O</w:t>
      </w:r>
      <w:r w:rsidR="00B52635" w:rsidRPr="00B52635">
        <w:rPr>
          <w:rFonts w:ascii="Bookman Old Style" w:hAnsi="Bookman Old Style"/>
          <w:b/>
          <w:color w:val="auto"/>
        </w:rPr>
        <w:t>ggetto</w:t>
      </w:r>
      <w:r w:rsidRPr="00B52635">
        <w:rPr>
          <w:rFonts w:ascii="Bookman Old Style" w:hAnsi="Bookman Old Style"/>
          <w:color w:val="auto"/>
        </w:rPr>
        <w:t xml:space="preserve">: </w:t>
      </w:r>
      <w:r w:rsidR="00F23CA0">
        <w:rPr>
          <w:rFonts w:ascii="Bookman Old Style" w:hAnsi="Bookman Old Style" w:cs="TimesNewRomanPS-BoldMT"/>
          <w:bCs/>
          <w:color w:val="auto"/>
        </w:rPr>
        <w:t xml:space="preserve">Riclassificazione </w:t>
      </w:r>
      <w:r w:rsidR="00B52635" w:rsidRPr="00B52635">
        <w:rPr>
          <w:rFonts w:ascii="Bookman Old Style" w:hAnsi="Bookman Old Style" w:cs="TimesNewRomanPS-BoldMT"/>
          <w:bCs/>
          <w:color w:val="auto"/>
        </w:rPr>
        <w:t>del medicinale per uso umano</w:t>
      </w:r>
      <w:r w:rsidR="00CE272C">
        <w:rPr>
          <w:rFonts w:ascii="Bookman Old Style" w:hAnsi="Bookman Old Style" w:cs="TimesNewRomanPS-BoldMT"/>
          <w:bCs/>
          <w:color w:val="auto"/>
        </w:rPr>
        <w:t xml:space="preserve"> </w:t>
      </w:r>
      <w:r w:rsidR="00CE272C" w:rsidRPr="00CE272C">
        <w:rPr>
          <w:rFonts w:ascii="Bookman Old Style" w:hAnsi="Bookman Old Style" w:cs="Courier New"/>
          <w:szCs w:val="20"/>
        </w:rPr>
        <w:t>«</w:t>
      </w:r>
      <w:proofErr w:type="spellStart"/>
      <w:r w:rsidR="00F23CA0">
        <w:rPr>
          <w:rFonts w:ascii="Bookman Old Style" w:hAnsi="Bookman Old Style" w:cs="Courier New"/>
          <w:szCs w:val="20"/>
        </w:rPr>
        <w:t>Verzenios</w:t>
      </w:r>
      <w:proofErr w:type="spellEnd"/>
      <w:r w:rsidR="00CE272C" w:rsidRPr="00CE272C">
        <w:rPr>
          <w:rFonts w:ascii="Bookman Old Style" w:hAnsi="Bookman Old Style" w:cs="Courier New"/>
          <w:szCs w:val="20"/>
        </w:rPr>
        <w:t>»</w:t>
      </w:r>
      <w:r w:rsidRPr="00B52635">
        <w:rPr>
          <w:rFonts w:ascii="Bookman Old Style" w:hAnsi="Bookman Old Style"/>
          <w:color w:val="auto"/>
        </w:rPr>
        <w:t xml:space="preserve">; 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F23CA0">
        <w:rPr>
          <w:rFonts w:ascii="Bookman Old Style" w:hAnsi="Bookman Old Style"/>
          <w:color w:val="auto"/>
          <w:sz w:val="24"/>
          <w:szCs w:val="24"/>
        </w:rPr>
        <w:t>13/12</w:t>
      </w:r>
      <w:r w:rsidR="001F62B7">
        <w:rPr>
          <w:rFonts w:ascii="Bookman Old Style" w:hAnsi="Bookman Old Style"/>
          <w:color w:val="auto"/>
          <w:sz w:val="24"/>
          <w:szCs w:val="24"/>
        </w:rPr>
        <w:t>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F5284F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</w:t>
      </w:r>
      <w:r w:rsidR="006F1E60">
        <w:rPr>
          <w:rFonts w:ascii="Bookman Old Style" w:hAnsi="Bookman Old Style"/>
          <w:b/>
          <w:sz w:val="24"/>
          <w:szCs w:val="24"/>
        </w:rPr>
        <w:t>e</w:t>
      </w:r>
      <w:r>
        <w:rPr>
          <w:rFonts w:ascii="Bookman Old Style" w:hAnsi="Bookman Old Style"/>
          <w:b/>
          <w:sz w:val="24"/>
          <w:szCs w:val="24"/>
        </w:rPr>
        <w:t xml:space="preserve"> TERAPEUTIC</w:t>
      </w:r>
      <w:r w:rsidR="006F1E60">
        <w:rPr>
          <w:rFonts w:ascii="Bookman Old Style" w:hAnsi="Bookman Old Style"/>
          <w:b/>
          <w:sz w:val="24"/>
          <w:szCs w:val="24"/>
        </w:rPr>
        <w:t>a</w:t>
      </w:r>
    </w:p>
    <w:p w:rsidR="00F5284F" w:rsidRPr="003A5F38" w:rsidRDefault="00F23CA0" w:rsidP="003A5F38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F23CA0">
        <w:rPr>
          <w:rFonts w:ascii="Bookman Old Style" w:hAnsi="Bookman Old Style"/>
        </w:rPr>
        <w:t xml:space="preserve">arcinoma della mammella localmente avanzato o metastatico, positivo ai recettori ormonali (HR), negativo al recettore del fattore umano di crescita epidermico di tipo 2 (HER2), in associazione con un inibitore delle </w:t>
      </w:r>
      <w:proofErr w:type="spellStart"/>
      <w:r w:rsidRPr="00F23CA0">
        <w:rPr>
          <w:rFonts w:ascii="Bookman Old Style" w:hAnsi="Bookman Old Style"/>
        </w:rPr>
        <w:t>aromatasi</w:t>
      </w:r>
      <w:proofErr w:type="spellEnd"/>
      <w:r w:rsidRPr="00F23CA0">
        <w:rPr>
          <w:rFonts w:ascii="Bookman Old Style" w:hAnsi="Bookman Old Style"/>
        </w:rPr>
        <w:t xml:space="preserve"> o </w:t>
      </w:r>
      <w:proofErr w:type="spellStart"/>
      <w:r w:rsidRPr="00F23CA0">
        <w:rPr>
          <w:rFonts w:ascii="Bookman Old Style" w:hAnsi="Bookman Old Style"/>
        </w:rPr>
        <w:t>fulvestrant</w:t>
      </w:r>
      <w:proofErr w:type="spellEnd"/>
      <w:r w:rsidRPr="00F23CA0">
        <w:rPr>
          <w:rFonts w:ascii="Bookman Old Style" w:hAnsi="Bookman Old Style"/>
        </w:rPr>
        <w:t xml:space="preserve"> come terapia endocrina iniziale o in donne che hanno ricevuto una precedente terapia endocrina. Nelle donne in </w:t>
      </w:r>
      <w:proofErr w:type="spellStart"/>
      <w:r w:rsidRPr="00F23CA0">
        <w:rPr>
          <w:rFonts w:ascii="Bookman Old Style" w:hAnsi="Bookman Old Style"/>
        </w:rPr>
        <w:t>pre</w:t>
      </w:r>
      <w:proofErr w:type="spellEnd"/>
      <w:r w:rsidRPr="00F23CA0">
        <w:rPr>
          <w:rFonts w:ascii="Bookman Old Style" w:hAnsi="Bookman Old Style"/>
        </w:rPr>
        <w:t xml:space="preserve">- o peri-menopausa, la terapia endocrina deve essere combinata con un agonista dell’ormone di rilascio dell’ormone </w:t>
      </w:r>
      <w:proofErr w:type="spellStart"/>
      <w:r w:rsidRPr="00F23CA0">
        <w:rPr>
          <w:rFonts w:ascii="Bookman Old Style" w:hAnsi="Bookman Old Style"/>
        </w:rPr>
        <w:t>luteiniizzante</w:t>
      </w:r>
      <w:proofErr w:type="spellEnd"/>
      <w:r w:rsidRPr="00F23CA0">
        <w:rPr>
          <w:rFonts w:ascii="Bookman Old Style" w:hAnsi="Bookman Old Style"/>
        </w:rPr>
        <w:t xml:space="preserve"> (LHRH).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E272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color w:val="auto"/>
        </w:rPr>
        <w:t>N</w:t>
      </w:r>
      <w:r w:rsidR="00012557" w:rsidRPr="00B52635">
        <w:rPr>
          <w:rFonts w:ascii="Bookman Old Style" w:hAnsi="Bookman Old Style"/>
          <w:color w:val="auto"/>
        </w:rPr>
        <w:t xml:space="preserve">: </w:t>
      </w:r>
      <w:r w:rsidR="00F23CA0">
        <w:rPr>
          <w:rFonts w:ascii="Bookman Old Style" w:hAnsi="Bookman Old Style" w:cs="Times New Roman"/>
        </w:rPr>
        <w:t>291</w:t>
      </w:r>
      <w:r w:rsidR="00C33DCA" w:rsidRPr="007C1FAB">
        <w:rPr>
          <w:rFonts w:ascii="Bookman Old Style" w:hAnsi="Bookman Old Style" w:cs="Times New Roman"/>
        </w:rPr>
        <w:t xml:space="preserve"> </w:t>
      </w:r>
      <w:r w:rsidR="00CE272C" w:rsidRPr="007C1FAB">
        <w:rPr>
          <w:rFonts w:ascii="Bookman Old Style" w:hAnsi="Bookman Old Style" w:cs="Times New Roman"/>
        </w:rPr>
        <w:t xml:space="preserve">del </w:t>
      </w:r>
      <w:r w:rsidR="00F23CA0">
        <w:rPr>
          <w:rFonts w:ascii="Bookman Old Style" w:hAnsi="Bookman Old Style" w:cs="Times New Roman"/>
        </w:rPr>
        <w:t>12</w:t>
      </w:r>
      <w:r w:rsidR="001F62B7">
        <w:rPr>
          <w:rFonts w:ascii="Bookman Old Style" w:hAnsi="Bookman Old Style" w:cs="Times New Roman"/>
        </w:rPr>
        <w:t>/12/2019</w:t>
      </w:r>
      <w:r w:rsidR="00551363">
        <w:rPr>
          <w:rFonts w:ascii="Bookman Old Style" w:hAnsi="Bookman Old Style" w:cs="Times New Roman"/>
        </w:rPr>
        <w:t xml:space="preserve"> </w:t>
      </w:r>
      <w:r w:rsidR="00551363">
        <w:rPr>
          <w:rFonts w:ascii="Bookman Old Style" w:hAnsi="Bookman Old Style"/>
          <w:color w:val="auto"/>
        </w:rPr>
        <w:t>(in allegato)</w:t>
      </w:r>
      <w:r w:rsidR="00E7728E">
        <w:rPr>
          <w:rFonts w:ascii="Times New Roman" w:hAnsi="Times New Roman" w:cs="Times New Roman"/>
          <w:sz w:val="23"/>
          <w:szCs w:val="23"/>
        </w:rPr>
        <w:t>.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9C21DC">
        <w:rPr>
          <w:rFonts w:ascii="Bookman Old Style" w:hAnsi="Bookman Old Style"/>
          <w:b/>
          <w:sz w:val="24"/>
          <w:szCs w:val="24"/>
        </w:rPr>
        <w:t>RIMBORSABILITA’</w:t>
      </w:r>
    </w:p>
    <w:p w:rsidR="00EE2CB1" w:rsidRPr="00EE2CB1" w:rsidRDefault="0035421E" w:rsidP="00C970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>;</w:t>
      </w:r>
    </w:p>
    <w:p w:rsidR="00C9708C" w:rsidRDefault="00C9708C" w:rsidP="00C970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 w:rsidRPr="007A74BF">
        <w:rPr>
          <w:rFonts w:ascii="Bookman Old Style" w:hAnsi="Bookman Old Style" w:cs="TimesNewRomanPSMT"/>
          <w:sz w:val="24"/>
          <w:szCs w:val="24"/>
        </w:rPr>
        <w:t>Sconto obbligatorio</w:t>
      </w:r>
      <w:r w:rsidR="00DE4C24">
        <w:rPr>
          <w:rFonts w:ascii="Bookman Old Style" w:hAnsi="Bookman Old Style" w:cs="TimesNewRomanPSMT"/>
          <w:sz w:val="24"/>
          <w:szCs w:val="24"/>
        </w:rPr>
        <w:t>, su tutta la molecola,</w:t>
      </w:r>
      <w:r w:rsidRPr="007A74BF">
        <w:rPr>
          <w:rFonts w:ascii="Bookman Old Style" w:hAnsi="Bookman Old Style" w:cs="TimesNewRomanPSMT"/>
          <w:sz w:val="24"/>
          <w:szCs w:val="24"/>
        </w:rPr>
        <w:t xml:space="preserve"> sul prezzo ex </w:t>
      </w:r>
      <w:proofErr w:type="spellStart"/>
      <w:r w:rsidRPr="007A74BF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7A74BF">
        <w:rPr>
          <w:rFonts w:ascii="Bookman Old Style" w:hAnsi="Bookman Old Style" w:cs="TimesNewRomanPSMT"/>
          <w:sz w:val="24"/>
          <w:szCs w:val="24"/>
        </w:rPr>
        <w:t xml:space="preserve"> </w:t>
      </w:r>
      <w:r w:rsidR="00DE4C24">
        <w:rPr>
          <w:rFonts w:ascii="Bookman Old Style" w:hAnsi="Bookman Old Style" w:cs="TimesNewRomanPSMT"/>
          <w:sz w:val="24"/>
          <w:szCs w:val="24"/>
        </w:rPr>
        <w:t xml:space="preserve">da praticarsi alle strutture pubbliche del SSN, ivi comprese le strutture sanitarie private accreditate con il SSN, </w:t>
      </w:r>
      <w:r w:rsidRPr="007A74BF">
        <w:rPr>
          <w:rFonts w:ascii="Bookman Old Style" w:hAnsi="Bookman Old Style" w:cs="TimesNewRomanPSMT"/>
          <w:sz w:val="24"/>
          <w:szCs w:val="24"/>
        </w:rPr>
        <w:t xml:space="preserve">come da condizioni negoziali; </w:t>
      </w:r>
    </w:p>
    <w:p w:rsidR="00F5284F" w:rsidRDefault="00963591" w:rsidP="00C970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lastRenderedPageBreak/>
        <w:t xml:space="preserve">Innovatività terapeutica </w:t>
      </w:r>
      <w:r w:rsidR="00F23CA0">
        <w:rPr>
          <w:rFonts w:ascii="Bookman Old Style" w:hAnsi="Bookman Old Style" w:cs="TimesNewRomanPSMT"/>
          <w:sz w:val="24"/>
          <w:szCs w:val="24"/>
        </w:rPr>
        <w:t>condizionata</w:t>
      </w:r>
      <w:r>
        <w:rPr>
          <w:rFonts w:ascii="Bookman Old Style" w:hAnsi="Bookman Old Style" w:cs="TimesNewRomanPSMT"/>
          <w:sz w:val="24"/>
          <w:szCs w:val="24"/>
        </w:rPr>
        <w:t xml:space="preserve">: </w:t>
      </w:r>
      <w:r w:rsidRPr="00023EB4">
        <w:rPr>
          <w:rFonts w:ascii="Bookman Old Style" w:hAnsi="Bookman Old Style" w:cs="TimesNewRomanPSMT"/>
          <w:sz w:val="24"/>
          <w:szCs w:val="24"/>
        </w:rPr>
        <w:t>inserimento diretto nei prontuari terapeutici regionali</w:t>
      </w:r>
      <w:r w:rsidR="00F5284F">
        <w:rPr>
          <w:rFonts w:ascii="Bookman Old Style" w:hAnsi="Bookman Old Style" w:cs="TimesNewRomanPSMT"/>
          <w:sz w:val="24"/>
          <w:szCs w:val="24"/>
        </w:rPr>
        <w:t>;</w:t>
      </w:r>
    </w:p>
    <w:p w:rsidR="008B11FC" w:rsidRPr="008B11FC" w:rsidRDefault="00F5284F" w:rsidP="008B11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NewRomanPSMT"/>
          <w:sz w:val="24"/>
          <w:szCs w:val="24"/>
        </w:rPr>
      </w:pPr>
      <w:r w:rsidRPr="008B11FC">
        <w:rPr>
          <w:rFonts w:ascii="Bookman Old Style" w:hAnsi="Bookman Old Style" w:cs="TimesNewRomanPSMT"/>
          <w:sz w:val="24"/>
          <w:szCs w:val="24"/>
        </w:rPr>
        <w:t xml:space="preserve">Validità contratto: </w:t>
      </w:r>
      <w:r w:rsidR="00DE4C24">
        <w:rPr>
          <w:rFonts w:ascii="Bookman Old Style" w:hAnsi="Bookman Old Style" w:cs="Courier New"/>
          <w:color w:val="000000"/>
          <w:sz w:val="24"/>
          <w:szCs w:val="24"/>
        </w:rPr>
        <w:t>ventiquattro mesi</w:t>
      </w:r>
      <w:r w:rsidR="008B11FC" w:rsidRPr="008B11FC">
        <w:rPr>
          <w:rFonts w:ascii="Bookman Old Style" w:hAnsi="Bookman Old Style" w:cs="Courier New"/>
          <w:color w:val="000000"/>
          <w:sz w:val="24"/>
          <w:szCs w:val="24"/>
          <w:lang w:eastAsia="it-IT"/>
        </w:rPr>
        <w:t>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F23CA0">
        <w:rPr>
          <w:rFonts w:ascii="Bookman Old Style" w:hAnsi="Bookman Old Style" w:cs="TimesNewRomanPSMT"/>
          <w:color w:val="auto"/>
          <w:kern w:val="0"/>
          <w:sz w:val="24"/>
          <w:szCs w:val="24"/>
        </w:rPr>
        <w:t>da rinnovare volta per volta, vendibile al pubblico su prescrizione di centri ospedalieri individuati dalle regioni o di specialisti - oncologo (RNRL).</w:t>
      </w:r>
      <w:bookmarkStart w:id="0" w:name="_GoBack"/>
      <w:bookmarkEnd w:id="0"/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="00DE4C24" w:rsidRPr="008E1B2A">
          <w:rPr>
            <w:rStyle w:val="Collegamentoipertestuale"/>
            <w:rFonts w:ascii="Bookman Old Style" w:hAnsi="Bookman Old Style"/>
            <w:sz w:val="24"/>
            <w:szCs w:val="24"/>
          </w:rPr>
          <w:t>http://www.agenziafarmaco.gov.it/it/content/ 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</w:t>
      </w:r>
      <w:r w:rsidR="00DE4C24">
        <w:rPr>
          <w:rFonts w:ascii="Bookman Old Style" w:hAnsi="Bookman Old Style"/>
          <w:sz w:val="24"/>
          <w:szCs w:val="24"/>
        </w:rPr>
        <w:t>portale istituzionale dell’AIFA</w:t>
      </w:r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>I dati inerenti ai trattamenti effettuati a partire dalla data d</w:t>
      </w:r>
      <w:r w:rsidR="00DE4C24">
        <w:rPr>
          <w:rFonts w:ascii="Bookman Old Style" w:hAnsi="Bookman Old Style"/>
          <w:sz w:val="24"/>
          <w:szCs w:val="24"/>
        </w:rPr>
        <w:t>i entrata in vigore della determin</w:t>
      </w:r>
      <w:r w:rsidRPr="007A74BF">
        <w:rPr>
          <w:rFonts w:ascii="Bookman Old Style" w:hAnsi="Bookman Old Style"/>
          <w:sz w:val="24"/>
          <w:szCs w:val="24"/>
        </w:rPr>
        <w:t xml:space="preserve">azione, tramite la modalità temporanea suindicata, dovranno essere successivamente riportati nella piattaforma web, secondo le modalità </w:t>
      </w:r>
      <w:r w:rsidR="00DE4C24">
        <w:rPr>
          <w:rFonts w:ascii="Bookman Old Style" w:hAnsi="Bookman Old Style"/>
          <w:sz w:val="24"/>
          <w:szCs w:val="24"/>
        </w:rPr>
        <w:t>previste.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904BC4" w:rsidRPr="00904BC4" w:rsidRDefault="0035421E" w:rsidP="00904BC4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904BC4" w:rsidRDefault="00904BC4" w:rsidP="00904BC4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  <w:r w:rsidRPr="00904BC4"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  <w:t>Premesso ciò, i Centri autorizzati alla prescrizione sono quelli riportati in tabella:</w:t>
      </w:r>
    </w:p>
    <w:p w:rsidR="00904BC4" w:rsidRPr="00904BC4" w:rsidRDefault="00904BC4" w:rsidP="00904BC4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tbl>
      <w:tblPr>
        <w:tblStyle w:val="Grigliatabella"/>
        <w:tblW w:w="9781" w:type="dxa"/>
        <w:tblInd w:w="279" w:type="dxa"/>
        <w:tblLook w:val="04A0" w:firstRow="1" w:lastRow="0" w:firstColumn="1" w:lastColumn="0" w:noHBand="0" w:noVBand="1"/>
      </w:tblPr>
      <w:tblGrid>
        <w:gridCol w:w="3539"/>
        <w:gridCol w:w="3174"/>
        <w:gridCol w:w="3068"/>
      </w:tblGrid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Pr="00C77D13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4"/>
                <w:szCs w:val="24"/>
                <w:lang w:eastAsia="en-US"/>
              </w:rPr>
            </w:pPr>
            <w:r w:rsidRPr="00C77D13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Urbino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Senigallia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Jesi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Fabriano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Civitanova M.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Ascoli Piceno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  <w:tr w:rsidR="00963591" w:rsidTr="001128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INRCA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91" w:rsidRDefault="00963591" w:rsidP="00112830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INRCA Ancona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91" w:rsidRDefault="00963591" w:rsidP="00112830">
            <w:r w:rsidRPr="0044407E">
              <w:rPr>
                <w:rFonts w:ascii="Bookman Old Style" w:hAnsi="Bookman Old Style"/>
                <w:color w:val="auto"/>
                <w:kern w:val="0"/>
                <w:sz w:val="22"/>
                <w:szCs w:val="24"/>
                <w:lang w:eastAsia="en-US"/>
              </w:rPr>
              <w:t>ONCOLOGIA</w:t>
            </w:r>
          </w:p>
        </w:tc>
      </w:tr>
    </w:tbl>
    <w:p w:rsidR="00904BC4" w:rsidRPr="00904BC4" w:rsidRDefault="00904BC4" w:rsidP="00904BC4">
      <w:pPr>
        <w:rPr>
          <w:rFonts w:ascii="Bookman Old Style" w:hAnsi="Bookman Old Style"/>
          <w:color w:val="auto"/>
          <w:kern w:val="0"/>
          <w:sz w:val="24"/>
          <w:szCs w:val="24"/>
          <w:lang w:eastAsia="en-US"/>
        </w:rPr>
      </w:pPr>
    </w:p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904BC4" w:rsidRDefault="00904BC4" w:rsidP="00904BC4"/>
    <w:p w:rsidR="00636E92" w:rsidRPr="007A74BF" w:rsidRDefault="00636E92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sectPr w:rsidR="00636E92" w:rsidRPr="007A74BF" w:rsidSect="00943F48">
      <w:footerReference w:type="default" r:id="rId11"/>
      <w:headerReference w:type="first" r:id="rId12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CF" w:rsidRDefault="007225CF">
      <w:pPr>
        <w:spacing w:before="0" w:after="0"/>
      </w:pPr>
      <w:r>
        <w:separator/>
      </w:r>
    </w:p>
  </w:endnote>
  <w:endnote w:type="continuationSeparator" w:id="0">
    <w:p w:rsidR="007225CF" w:rsidRDefault="007225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C33DCA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D356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9oqO5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C40E8B">
        <w:pPr>
          <w:pStyle w:val="Pidipagina"/>
          <w:jc w:val="center"/>
        </w:pPr>
        <w:r>
          <w:fldChar w:fldCharType="begin"/>
        </w:r>
        <w:r w:rsidR="00D5457C">
          <w:instrText>PAGE    \* MERGEFORMAT</w:instrText>
        </w:r>
        <w:r>
          <w:fldChar w:fldCharType="separate"/>
        </w:r>
        <w:r w:rsidR="00F23CA0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CF" w:rsidRDefault="007225CF">
      <w:pPr>
        <w:spacing w:before="0" w:after="0"/>
      </w:pPr>
      <w:r>
        <w:separator/>
      </w:r>
    </w:p>
  </w:footnote>
  <w:footnote w:type="continuationSeparator" w:id="0">
    <w:p w:rsidR="007225CF" w:rsidRDefault="007225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12557"/>
    <w:rsid w:val="00027448"/>
    <w:rsid w:val="000459D8"/>
    <w:rsid w:val="00072797"/>
    <w:rsid w:val="00086889"/>
    <w:rsid w:val="000C4976"/>
    <w:rsid w:val="000E5124"/>
    <w:rsid w:val="001161EA"/>
    <w:rsid w:val="0013231E"/>
    <w:rsid w:val="00157130"/>
    <w:rsid w:val="00185A65"/>
    <w:rsid w:val="001D7DBA"/>
    <w:rsid w:val="001F10F3"/>
    <w:rsid w:val="001F61C0"/>
    <w:rsid w:val="001F62B7"/>
    <w:rsid w:val="00206EE8"/>
    <w:rsid w:val="00221B79"/>
    <w:rsid w:val="002247BD"/>
    <w:rsid w:val="00225C2E"/>
    <w:rsid w:val="0026366D"/>
    <w:rsid w:val="00297984"/>
    <w:rsid w:val="002B0F37"/>
    <w:rsid w:val="002B1A45"/>
    <w:rsid w:val="0035421E"/>
    <w:rsid w:val="0036393B"/>
    <w:rsid w:val="003A030E"/>
    <w:rsid w:val="003A5F38"/>
    <w:rsid w:val="003A66A6"/>
    <w:rsid w:val="003C1F13"/>
    <w:rsid w:val="003C21AF"/>
    <w:rsid w:val="003C3CB9"/>
    <w:rsid w:val="003C60AE"/>
    <w:rsid w:val="003D2DBF"/>
    <w:rsid w:val="003D3715"/>
    <w:rsid w:val="003E67C7"/>
    <w:rsid w:val="004122A3"/>
    <w:rsid w:val="00443DA2"/>
    <w:rsid w:val="00465F14"/>
    <w:rsid w:val="004773C1"/>
    <w:rsid w:val="00485DCC"/>
    <w:rsid w:val="00492A7A"/>
    <w:rsid w:val="00495531"/>
    <w:rsid w:val="004B22D5"/>
    <w:rsid w:val="004B7D73"/>
    <w:rsid w:val="004C0AF8"/>
    <w:rsid w:val="004D7D40"/>
    <w:rsid w:val="004E4E8A"/>
    <w:rsid w:val="004E7965"/>
    <w:rsid w:val="004F5B99"/>
    <w:rsid w:val="004F5D52"/>
    <w:rsid w:val="005011ED"/>
    <w:rsid w:val="00531BB4"/>
    <w:rsid w:val="00551363"/>
    <w:rsid w:val="00551373"/>
    <w:rsid w:val="00587C03"/>
    <w:rsid w:val="005A59D1"/>
    <w:rsid w:val="005B1182"/>
    <w:rsid w:val="005C0D55"/>
    <w:rsid w:val="005C3F78"/>
    <w:rsid w:val="005F46D5"/>
    <w:rsid w:val="0060036B"/>
    <w:rsid w:val="00600A47"/>
    <w:rsid w:val="00604EAE"/>
    <w:rsid w:val="00610561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6F1E60"/>
    <w:rsid w:val="00705626"/>
    <w:rsid w:val="00711107"/>
    <w:rsid w:val="00716C95"/>
    <w:rsid w:val="007225CF"/>
    <w:rsid w:val="00764002"/>
    <w:rsid w:val="00777C21"/>
    <w:rsid w:val="007A74BF"/>
    <w:rsid w:val="007B409F"/>
    <w:rsid w:val="007C1FAB"/>
    <w:rsid w:val="007F0B6D"/>
    <w:rsid w:val="00800C91"/>
    <w:rsid w:val="00804479"/>
    <w:rsid w:val="00810EB2"/>
    <w:rsid w:val="0083596E"/>
    <w:rsid w:val="00846B3B"/>
    <w:rsid w:val="008514EF"/>
    <w:rsid w:val="008B11FC"/>
    <w:rsid w:val="008B594C"/>
    <w:rsid w:val="008D1419"/>
    <w:rsid w:val="008F7318"/>
    <w:rsid w:val="00904BC4"/>
    <w:rsid w:val="00905A0F"/>
    <w:rsid w:val="009309D9"/>
    <w:rsid w:val="00943F48"/>
    <w:rsid w:val="00963591"/>
    <w:rsid w:val="00995551"/>
    <w:rsid w:val="009B7A26"/>
    <w:rsid w:val="009C21DC"/>
    <w:rsid w:val="009C6AF8"/>
    <w:rsid w:val="00A0271A"/>
    <w:rsid w:val="00A15CEA"/>
    <w:rsid w:val="00A16D92"/>
    <w:rsid w:val="00A310DC"/>
    <w:rsid w:val="00A313EF"/>
    <w:rsid w:val="00A3787E"/>
    <w:rsid w:val="00A37A25"/>
    <w:rsid w:val="00A56DAE"/>
    <w:rsid w:val="00A67134"/>
    <w:rsid w:val="00A9159C"/>
    <w:rsid w:val="00A964AA"/>
    <w:rsid w:val="00AB14A4"/>
    <w:rsid w:val="00AC385D"/>
    <w:rsid w:val="00AE73F2"/>
    <w:rsid w:val="00AF0961"/>
    <w:rsid w:val="00AF38B9"/>
    <w:rsid w:val="00B00E77"/>
    <w:rsid w:val="00B52635"/>
    <w:rsid w:val="00B90641"/>
    <w:rsid w:val="00BC53C6"/>
    <w:rsid w:val="00C12BD3"/>
    <w:rsid w:val="00C16F34"/>
    <w:rsid w:val="00C33DCA"/>
    <w:rsid w:val="00C33F56"/>
    <w:rsid w:val="00C40E8B"/>
    <w:rsid w:val="00C57570"/>
    <w:rsid w:val="00C9708C"/>
    <w:rsid w:val="00CB2919"/>
    <w:rsid w:val="00CD1365"/>
    <w:rsid w:val="00CE272C"/>
    <w:rsid w:val="00CF6B23"/>
    <w:rsid w:val="00D05E83"/>
    <w:rsid w:val="00D126A1"/>
    <w:rsid w:val="00D32ABF"/>
    <w:rsid w:val="00D5457C"/>
    <w:rsid w:val="00D55EFD"/>
    <w:rsid w:val="00DE4C24"/>
    <w:rsid w:val="00E31521"/>
    <w:rsid w:val="00E523DB"/>
    <w:rsid w:val="00E56DDB"/>
    <w:rsid w:val="00E7728E"/>
    <w:rsid w:val="00E806EC"/>
    <w:rsid w:val="00EA5A8C"/>
    <w:rsid w:val="00EE2CB1"/>
    <w:rsid w:val="00EF7F6A"/>
    <w:rsid w:val="00F02067"/>
    <w:rsid w:val="00F05055"/>
    <w:rsid w:val="00F16F0B"/>
    <w:rsid w:val="00F23CA0"/>
    <w:rsid w:val="00F242B0"/>
    <w:rsid w:val="00F24787"/>
    <w:rsid w:val="00F35143"/>
    <w:rsid w:val="00F36792"/>
    <w:rsid w:val="00F5284F"/>
    <w:rsid w:val="00F57D39"/>
    <w:rsid w:val="00F761E7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E5EA2A"/>
  <w15:docId w15:val="{D7B9188E-C856-4C0C-8E0A-A6CB443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F48"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F48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3F48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F48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rsid w:val="00943F4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F48"/>
    <w:rPr>
      <w:kern w:val="20"/>
    </w:rPr>
  </w:style>
  <w:style w:type="paragraph" w:styleId="Nessunaspaziatura">
    <w:name w:val="No Spacing"/>
    <w:link w:val="NessunaspaziaturaCarattere"/>
    <w:uiPriority w:val="1"/>
    <w:qFormat/>
    <w:rsid w:val="00943F48"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sid w:val="00943F48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43F48"/>
  </w:style>
  <w:style w:type="table" w:styleId="Grigliatabella">
    <w:name w:val="Table Grid"/>
    <w:basedOn w:val="Tabellanormale"/>
    <w:uiPriority w:val="59"/>
    <w:rsid w:val="00943F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43F48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43F48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943F48"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rsid w:val="00943F48"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943F48"/>
    <w:rPr>
      <w:kern w:val="20"/>
    </w:rPr>
  </w:style>
  <w:style w:type="table" w:customStyle="1" w:styleId="TabellaRapportostato">
    <w:name w:val="Tabella Rapporto stato"/>
    <w:basedOn w:val="Tabellanormale"/>
    <w:uiPriority w:val="99"/>
    <w:rsid w:val="00943F48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943F48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genziafarmaco.gov.it/it/content/%20registri-farmaci-sottoposti-monitoragg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EAEA9E0-2FA8-4BDF-B74F-D7CF06B0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62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Sagratella</dc:creator>
  <cp:lastModifiedBy>Antea Maria Pia Mangano</cp:lastModifiedBy>
  <cp:revision>14</cp:revision>
  <cp:lastPrinted>2017-03-27T11:06:00Z</cp:lastPrinted>
  <dcterms:created xsi:type="dcterms:W3CDTF">2019-01-17T16:36:00Z</dcterms:created>
  <dcterms:modified xsi:type="dcterms:W3CDTF">2019-12-23T15:01:00Z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