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1E" w:rsidRDefault="0035421E" w:rsidP="00C9708C">
      <w:pPr>
        <w:pStyle w:val="Titolo"/>
        <w:spacing w:before="420" w:after="100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A67134">
        <w:rPr>
          <w:rFonts w:ascii="Bookman Old Style" w:hAnsi="Bookman Old Style"/>
          <w:b/>
          <w:sz w:val="32"/>
          <w:szCs w:val="32"/>
        </w:rPr>
        <w:t>CENTRI AUTORIZZATI ALLA DIAGNOSI E PRESCRIZIONE DI FARMACI SOTTOPOSTI A LIMITAZIONE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35421E" w:rsidRPr="003D2DBF" w:rsidRDefault="00BA1583" w:rsidP="003D3715">
      <w:pPr>
        <w:pStyle w:val="Default"/>
        <w:jc w:val="center"/>
        <w:rPr>
          <w:rFonts w:ascii="Bookman Old Style" w:hAnsi="Bookman Old Style"/>
          <w:b/>
          <w:color w:val="FF0000"/>
          <w:sz w:val="36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IMFINZI</w:t>
      </w:r>
      <w:r w:rsidR="00F5284F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3D3715">
        <w:rPr>
          <w:rFonts w:ascii="Bookman Old Style" w:hAnsi="Bookman Old Style"/>
          <w:b/>
          <w:color w:val="FF0000"/>
          <w:sz w:val="32"/>
          <w:szCs w:val="32"/>
        </w:rPr>
        <w:t>(</w:t>
      </w:r>
      <w:r>
        <w:rPr>
          <w:rFonts w:ascii="Bookman Old Style" w:hAnsi="Bookman Old Style"/>
          <w:b/>
          <w:color w:val="FF0000"/>
          <w:sz w:val="32"/>
          <w:szCs w:val="32"/>
        </w:rPr>
        <w:t>DURVALUMAB</w:t>
      </w:r>
      <w:r w:rsidR="003D3715">
        <w:rPr>
          <w:rFonts w:ascii="Bookman Old Style" w:hAnsi="Bookman Old Style"/>
          <w:b/>
          <w:color w:val="FF0000"/>
          <w:sz w:val="32"/>
          <w:szCs w:val="32"/>
        </w:rPr>
        <w:t>)</w:t>
      </w:r>
    </w:p>
    <w:p w:rsidR="0035421E" w:rsidRPr="00A67134" w:rsidRDefault="0035421E" w:rsidP="00C9708C"/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farmaco</w:t>
      </w:r>
    </w:p>
    <w:tbl>
      <w:tblPr>
        <w:tblStyle w:val="TabellaRapportostato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35421E" w:rsidRPr="00C57570" w:rsidTr="00CA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35421E" w:rsidRPr="00C57570" w:rsidRDefault="00BA1583" w:rsidP="007A74BF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IMFINZI</w:t>
            </w:r>
          </w:p>
        </w:tc>
        <w:tc>
          <w:tcPr>
            <w:tcW w:w="3664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principio attivo</w:t>
      </w:r>
    </w:p>
    <w:p w:rsidR="0035421E" w:rsidRPr="00C57570" w:rsidRDefault="00BA1583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DURVALUMA</w:t>
      </w:r>
      <w:r w:rsidR="008D6DB7">
        <w:rPr>
          <w:rFonts w:ascii="Bookman Old Style" w:hAnsi="Bookman Old Style"/>
          <w:color w:val="auto"/>
          <w:sz w:val="24"/>
          <w:szCs w:val="24"/>
        </w:rPr>
        <w:t>B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DOCUMENTAZIONE</w:t>
      </w:r>
    </w:p>
    <w:p w:rsidR="0035421E" w:rsidRPr="00B52635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 xml:space="preserve">Determina AIFA: 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n. </w:t>
      </w:r>
      <w:r w:rsidR="00BA1583">
        <w:rPr>
          <w:rFonts w:ascii="Bookman Old Style" w:hAnsi="Bookman Old Style"/>
          <w:color w:val="auto"/>
          <w:sz w:val="24"/>
          <w:szCs w:val="24"/>
        </w:rPr>
        <w:t>1289</w:t>
      </w:r>
      <w:r w:rsidR="003C1F13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0036B" w:rsidRPr="00B52635">
        <w:rPr>
          <w:rFonts w:ascii="Bookman Old Style" w:hAnsi="Bookman Old Style"/>
          <w:color w:val="auto"/>
          <w:sz w:val="24"/>
          <w:szCs w:val="24"/>
        </w:rPr>
        <w:t>del</w:t>
      </w:r>
      <w:r w:rsidR="00B52635"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BA1583">
        <w:rPr>
          <w:rFonts w:ascii="Bookman Old Style" w:hAnsi="Bookman Old Style"/>
          <w:color w:val="auto"/>
          <w:sz w:val="24"/>
          <w:szCs w:val="24"/>
        </w:rPr>
        <w:t>27/08/2019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; </w:t>
      </w:r>
    </w:p>
    <w:p w:rsidR="0035421E" w:rsidRPr="00B52635" w:rsidRDefault="0035421E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O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ggetto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BA1583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Ric</w:t>
      </w:r>
      <w:r w:rsidR="000D5AE7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lassificazione del medicinale per uso umano “</w:t>
      </w:r>
      <w:r w:rsidR="00BA1583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IMFINZI</w:t>
      </w:r>
      <w:r w:rsidR="000D5AE7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”, ai sensi dell’articolo 8, comma 10, della legge 24 dicembre 1993, n.537</w:t>
      </w:r>
    </w:p>
    <w:p w:rsidR="003C1F13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isposizione</w:t>
      </w:r>
      <w:r w:rsidRPr="00B52635">
        <w:rPr>
          <w:rFonts w:ascii="Bookman Old Style" w:hAnsi="Bookman Old Style"/>
          <w:color w:val="auto"/>
          <w:sz w:val="24"/>
          <w:szCs w:val="24"/>
        </w:rPr>
        <w:t>: Rimborsabilità a carico del SSN a partire dal</w:t>
      </w:r>
      <w:r w:rsidR="00BA1583">
        <w:rPr>
          <w:rFonts w:ascii="Bookman Old Style" w:hAnsi="Bookman Old Style"/>
          <w:color w:val="auto"/>
          <w:sz w:val="24"/>
          <w:szCs w:val="24"/>
        </w:rPr>
        <w:t xml:space="preserve"> 07/09/2019</w:t>
      </w:r>
      <w:r w:rsidRPr="00B52635">
        <w:rPr>
          <w:rFonts w:ascii="Bookman Old Style" w:hAnsi="Bookman Old Style"/>
          <w:color w:val="auto"/>
          <w:sz w:val="24"/>
          <w:szCs w:val="24"/>
        </w:rPr>
        <w:t>.</w:t>
      </w:r>
    </w:p>
    <w:p w:rsidR="0035421E" w:rsidRPr="00777C21" w:rsidRDefault="000D5AE7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INDICAZIONE TERAPEUTICA</w:t>
      </w:r>
    </w:p>
    <w:p w:rsidR="000D5AE7" w:rsidRDefault="00BA1583" w:rsidP="00F5284F">
      <w:pPr>
        <w:pStyle w:val="NormaleWeb"/>
        <w:spacing w:before="0" w:beforeAutospacing="0" w:after="0" w:afterAutospacing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Imfinzi </w:t>
      </w:r>
      <w:r w:rsidRPr="00BA1583">
        <w:rPr>
          <w:rFonts w:ascii="Bookman Old Style" w:hAnsi="Bookman Old Style"/>
        </w:rPr>
        <w:t>è indicato in monoterapia per il trattamento del carcinoma polmonare non a piccole cellule (NSCLC) localmente avanzato, non resecabile, negli adulti il cui tumore presenta un’espressione di PD-L1 ≥1% sulle cellule tumorali e la cui malattia non è progredita a seguito di chemioradioterapia a base di platino</w:t>
      </w:r>
      <w:r w:rsidR="00EE7C89">
        <w:rPr>
          <w:rFonts w:ascii="Bookman Old Style" w:hAnsi="Bookman Old Style"/>
        </w:rPr>
        <w:t>.</w:t>
      </w:r>
    </w:p>
    <w:p w:rsidR="00012557" w:rsidRPr="00777C21" w:rsidRDefault="00800C9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GAZZETTA UFFICIALE</w:t>
      </w:r>
    </w:p>
    <w:p w:rsidR="00012557" w:rsidRPr="00B52635" w:rsidRDefault="00800C91" w:rsidP="00C9708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N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BA1583">
        <w:rPr>
          <w:rFonts w:ascii="Bookman Old Style" w:hAnsi="Bookman Old Style"/>
          <w:color w:val="auto"/>
          <w:sz w:val="24"/>
          <w:szCs w:val="24"/>
        </w:rPr>
        <w:t>209</w:t>
      </w:r>
      <w:r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BA1583">
        <w:rPr>
          <w:rFonts w:ascii="Bookman Old Style" w:hAnsi="Bookman Old Style"/>
          <w:color w:val="auto"/>
          <w:sz w:val="24"/>
          <w:szCs w:val="24"/>
        </w:rPr>
        <w:t>06/09/2019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 (in allegato). </w:t>
      </w:r>
    </w:p>
    <w:p w:rsidR="0035421E" w:rsidRPr="00A30FE0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A30FE0">
        <w:rPr>
          <w:rFonts w:ascii="Bookman Old Style" w:hAnsi="Bookman Old Style"/>
          <w:b/>
          <w:sz w:val="24"/>
          <w:szCs w:val="24"/>
        </w:rPr>
        <w:t>RIMBORSABILITA’</w:t>
      </w:r>
    </w:p>
    <w:p w:rsidR="00C9708C" w:rsidRPr="00705626" w:rsidRDefault="0035421E" w:rsidP="00051B01">
      <w:pPr>
        <w:pStyle w:val="Paragrafoelenc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Courier"/>
          <w:sz w:val="24"/>
          <w:szCs w:val="24"/>
        </w:rPr>
      </w:pPr>
      <w:r w:rsidRPr="00705626">
        <w:rPr>
          <w:rFonts w:ascii="Bookman Old Style" w:hAnsi="Bookman Old Style"/>
          <w:sz w:val="24"/>
          <w:szCs w:val="24"/>
        </w:rPr>
        <w:t xml:space="preserve">Classe di rimborsabilità </w:t>
      </w:r>
      <w:r w:rsidR="00C9708C" w:rsidRPr="00705626">
        <w:rPr>
          <w:rFonts w:ascii="Bookman Old Style" w:hAnsi="Bookman Old Style"/>
          <w:sz w:val="24"/>
          <w:szCs w:val="24"/>
        </w:rPr>
        <w:t>H</w:t>
      </w:r>
      <w:r w:rsidRPr="00705626">
        <w:rPr>
          <w:rFonts w:ascii="Bookman Old Style" w:hAnsi="Bookman Old Style"/>
          <w:sz w:val="24"/>
          <w:szCs w:val="24"/>
        </w:rPr>
        <w:t xml:space="preserve">; </w:t>
      </w:r>
    </w:p>
    <w:p w:rsidR="00051B01" w:rsidRDefault="00051B01" w:rsidP="00051B01">
      <w:pPr>
        <w:pStyle w:val="Paragrafoelenc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lastRenderedPageBreak/>
        <w:t>Attribuzione del requisito dell’innovazione terapeutica;</w:t>
      </w:r>
    </w:p>
    <w:p w:rsidR="00051B01" w:rsidRDefault="00051B01" w:rsidP="00051B01">
      <w:pPr>
        <w:pStyle w:val="Paragrafoelenc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Inserimento nel fondo dei farmaci innovativi oncologici;</w:t>
      </w:r>
    </w:p>
    <w:p w:rsidR="00051B01" w:rsidRDefault="00051B01" w:rsidP="00051B01">
      <w:pPr>
        <w:pStyle w:val="Paragrafoelenc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Accesso ai benefici economici previsti dall’art. 1 comma 403 della legge 11 dicembre 2016, n. 232;</w:t>
      </w:r>
    </w:p>
    <w:p w:rsidR="00051B01" w:rsidRDefault="00051B01" w:rsidP="00051B01">
      <w:pPr>
        <w:pStyle w:val="Paragrafoelenc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Inserimento nei Prontuari terapeutici regionali nei termini previsti dalla normativa vigente;</w:t>
      </w:r>
    </w:p>
    <w:p w:rsidR="00051B01" w:rsidRDefault="00051B01" w:rsidP="00051B01">
      <w:pPr>
        <w:pStyle w:val="Paragrafoelenc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TimesNewRomanPSMT"/>
          <w:sz w:val="24"/>
          <w:szCs w:val="24"/>
        </w:rPr>
      </w:pPr>
      <w:r w:rsidRPr="00935B74">
        <w:rPr>
          <w:rFonts w:ascii="Bookman Old Style" w:hAnsi="Bookman Old Style" w:cs="TimesNewRomanPSMT"/>
          <w:sz w:val="24"/>
          <w:szCs w:val="24"/>
        </w:rPr>
        <w:t>La ditta rinuncia all'esenzione dall'applicazione delle riduzioni temporanee di legge di cui ai sensi delle determine AIFA del 3 luglio 2006 e dell'ulteriore riduzione del 5% ai sensi della determina AIFA del 27 settembre 2006</w:t>
      </w:r>
      <w:r>
        <w:rPr>
          <w:rFonts w:ascii="Bookman Old Style" w:hAnsi="Bookman Old Style" w:cs="TimesNewRomanPSMT"/>
          <w:sz w:val="24"/>
          <w:szCs w:val="24"/>
        </w:rPr>
        <w:t>;</w:t>
      </w:r>
    </w:p>
    <w:p w:rsidR="00051B01" w:rsidRPr="00935B74" w:rsidRDefault="00051B01" w:rsidP="00051B01">
      <w:pPr>
        <w:pStyle w:val="Paragrafoelenc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TimesNewRomanPSMT"/>
          <w:sz w:val="24"/>
          <w:szCs w:val="24"/>
        </w:rPr>
      </w:pPr>
      <w:r w:rsidRPr="00935B74">
        <w:rPr>
          <w:rFonts w:ascii="Bookman Old Style" w:hAnsi="Bookman Old Style" w:cs="TimesNewRomanPSMT"/>
          <w:sz w:val="24"/>
          <w:szCs w:val="24"/>
        </w:rPr>
        <w:t xml:space="preserve">Sconto obbligatorio sul prezzo ex factory </w:t>
      </w:r>
      <w:r>
        <w:rPr>
          <w:rFonts w:ascii="Bookman Old Style" w:hAnsi="Bookman Old Style" w:cs="TimesNewRomanPSMT"/>
          <w:sz w:val="24"/>
          <w:szCs w:val="24"/>
        </w:rPr>
        <w:t>per tutte le indicazioni terapeutiche da praticarsi alle strutture pubbliche del SSN</w:t>
      </w:r>
      <w:r w:rsidRPr="00935B74">
        <w:rPr>
          <w:rFonts w:ascii="Bookman Old Style" w:hAnsi="Bookman Old Style" w:cs="TimesNewRomanPSMT"/>
          <w:sz w:val="24"/>
          <w:szCs w:val="24"/>
        </w:rPr>
        <w:t>;</w:t>
      </w:r>
    </w:p>
    <w:p w:rsidR="00051B01" w:rsidRPr="007A74BF" w:rsidRDefault="00051B01" w:rsidP="00051B01">
      <w:pPr>
        <w:pStyle w:val="Paragrafoelenc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Validità contratto: 24 mesi.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FORNITURA</w:t>
      </w:r>
    </w:p>
    <w:p w:rsidR="00C9708C" w:rsidRPr="007A74BF" w:rsidRDefault="00C9708C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</w:rPr>
      </w:pPr>
      <w:r w:rsidRPr="007A74BF">
        <w:rPr>
          <w:rFonts w:ascii="Bookman Old Style" w:hAnsi="Bookman Old Style" w:cs="TimesNewRomanPSMT"/>
          <w:color w:val="auto"/>
          <w:kern w:val="0"/>
          <w:sz w:val="24"/>
          <w:szCs w:val="24"/>
        </w:rPr>
        <w:t>Medicinale soggetto a prescrizione medica limitativa</w:t>
      </w:r>
      <w:r w:rsidR="005178C4">
        <w:rPr>
          <w:rFonts w:ascii="Bookman Old Style" w:hAnsi="Bookman Old Style" w:cs="TimesNewRomanPSMT"/>
          <w:color w:val="auto"/>
          <w:kern w:val="0"/>
          <w:sz w:val="24"/>
          <w:szCs w:val="24"/>
        </w:rPr>
        <w:t>, utilizzabile esclusivamente in ambiente ospedaliero o in struttura ad esso assimilabile (OSP)</w:t>
      </w:r>
      <w:r w:rsidR="00EE7C89">
        <w:rPr>
          <w:rFonts w:ascii="Bookman Old Style" w:hAnsi="Bookman Old Style" w:cs="TimesNewRomanPSMT"/>
          <w:color w:val="auto"/>
          <w:kern w:val="0"/>
          <w:sz w:val="24"/>
          <w:szCs w:val="24"/>
        </w:rPr>
        <w:t>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PRESCRIZIONI A CARICO SSN</w:t>
      </w:r>
    </w:p>
    <w:p w:rsidR="005178C4" w:rsidRPr="007A74BF" w:rsidRDefault="005178C4" w:rsidP="005178C4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I centri utilizzatori specificatamente individuati dalle Regioni, dovranno compilare la scheda raccolta dati informatizzata di arruolamento che indica i pazienti eleggibili e la scheda di follow-up, applicando le indicazioni pubblicate sul sito dell’AIFA, piattaforma web – all’indirizzo: </w:t>
      </w:r>
      <w:hyperlink r:id="rId10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https://www.agenziafarmaco.gov.it/registri/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5178C4" w:rsidRPr="007A74BF" w:rsidRDefault="005178C4" w:rsidP="005178C4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Nelle more della piena attuazione del registro web-based, al fine di garantire la disponibilità del trattamento ai pazienti le prescrizioni dovranno essere </w:t>
      </w:r>
      <w:r>
        <w:rPr>
          <w:rFonts w:ascii="Bookman Old Style" w:hAnsi="Bookman Old Style"/>
          <w:sz w:val="24"/>
          <w:szCs w:val="24"/>
        </w:rPr>
        <w:t>effettuate</w:t>
      </w:r>
      <w:r w:rsidRPr="007A74BF">
        <w:rPr>
          <w:rFonts w:ascii="Bookman Old Style" w:hAnsi="Bookman Old Style"/>
          <w:sz w:val="24"/>
          <w:szCs w:val="24"/>
        </w:rPr>
        <w:t xml:space="preserve"> nel rispetto dei criteri di eleggibilità e di appropriatezza prescrittiva riportati nella documentazione consultabile sul portale istituzionale dell’AIFA: </w:t>
      </w:r>
      <w:hyperlink r:id="rId11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 xml:space="preserve"> ;</w:t>
      </w:r>
    </w:p>
    <w:p w:rsidR="005178C4" w:rsidRPr="007A74BF" w:rsidRDefault="005178C4" w:rsidP="005178C4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A74BF">
        <w:rPr>
          <w:rFonts w:ascii="Bookman Old Style" w:hAnsi="Bookman Old Style"/>
          <w:sz w:val="24"/>
          <w:szCs w:val="24"/>
        </w:rPr>
        <w:t xml:space="preserve">I dati inerenti ai trattamenti effettuati a partire dalla data di entrata in vigore della deliberazione, tramite la modalità temporanea suindicata, dovranno essere successivamente riportati nella piattaforma web, secondo le modalità che saranno indicate nel sito: </w:t>
      </w:r>
      <w:hyperlink r:id="rId12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.</w:t>
      </w:r>
      <w:r w:rsidRPr="007A74BF">
        <w:rPr>
          <w:rFonts w:ascii="Bookman Old Style" w:hAnsi="Bookman Old Style"/>
          <w:sz w:val="24"/>
          <w:szCs w:val="24"/>
        </w:rPr>
        <w:t xml:space="preserve"> 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lastRenderedPageBreak/>
        <w:t>CENTRI AUTORIZZATI</w:t>
      </w:r>
    </w:p>
    <w:p w:rsidR="00636E92" w:rsidRDefault="00E23724" w:rsidP="00C9708C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I Centri autorizzati alla prescrizione sono quelli già identificati per il carcinoma polmonare non </w:t>
      </w:r>
      <w:r w:rsidR="000072BA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a piccole cellule squamoso</w:t>
      </w:r>
      <w:r w:rsidR="005178C4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per il farmaco Tagrisso</w:t>
      </w:r>
      <w:r w:rsidR="000072BA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4"/>
        <w:gridCol w:w="4458"/>
        <w:gridCol w:w="2278"/>
      </w:tblGrid>
      <w:tr w:rsidR="000072BA" w:rsidRPr="005178C4" w:rsidTr="005178C4">
        <w:trPr>
          <w:trHeight w:val="567"/>
        </w:trPr>
        <w:tc>
          <w:tcPr>
            <w:tcW w:w="3334" w:type="dxa"/>
            <w:vAlign w:val="center"/>
          </w:tcPr>
          <w:p w:rsidR="00DF57EA" w:rsidRPr="005178C4" w:rsidRDefault="000072BA" w:rsidP="005178C4">
            <w:pPr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  <w:t>AZIENDA</w:t>
            </w:r>
          </w:p>
        </w:tc>
        <w:tc>
          <w:tcPr>
            <w:tcW w:w="4458" w:type="dxa"/>
            <w:vAlign w:val="center"/>
          </w:tcPr>
          <w:p w:rsidR="000072BA" w:rsidRPr="005178C4" w:rsidRDefault="000072BA" w:rsidP="005178C4">
            <w:pPr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  <w:t>PRESIDIO OSPEDALIERO</w:t>
            </w:r>
          </w:p>
        </w:tc>
        <w:tc>
          <w:tcPr>
            <w:tcW w:w="2278" w:type="dxa"/>
            <w:vAlign w:val="center"/>
          </w:tcPr>
          <w:p w:rsidR="000072BA" w:rsidRPr="005178C4" w:rsidRDefault="000072BA" w:rsidP="005178C4">
            <w:pPr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  <w:t>CENTRO</w:t>
            </w:r>
          </w:p>
        </w:tc>
      </w:tr>
      <w:tr w:rsidR="000072BA" w:rsidRPr="005178C4" w:rsidTr="005178C4">
        <w:trPr>
          <w:trHeight w:val="567"/>
        </w:trPr>
        <w:tc>
          <w:tcPr>
            <w:tcW w:w="3334" w:type="dxa"/>
            <w:vAlign w:val="center"/>
          </w:tcPr>
          <w:p w:rsidR="000072BA" w:rsidRPr="005178C4" w:rsidRDefault="000072BA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A.O. OSPEDALI RIUNITI MARCHE NORD</w:t>
            </w:r>
          </w:p>
        </w:tc>
        <w:tc>
          <w:tcPr>
            <w:tcW w:w="4458" w:type="dxa"/>
            <w:vAlign w:val="center"/>
          </w:tcPr>
          <w:p w:rsidR="000072BA" w:rsidRPr="005178C4" w:rsidRDefault="000072BA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OSPEDALE SANTA CROCE - FANO</w:t>
            </w:r>
          </w:p>
        </w:tc>
        <w:tc>
          <w:tcPr>
            <w:tcW w:w="2278" w:type="dxa"/>
            <w:vAlign w:val="center"/>
          </w:tcPr>
          <w:p w:rsidR="000072BA" w:rsidRPr="005178C4" w:rsidRDefault="000072BA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ONCOLOGIA</w:t>
            </w:r>
          </w:p>
        </w:tc>
      </w:tr>
      <w:tr w:rsidR="000072BA" w:rsidRPr="005178C4" w:rsidTr="005178C4">
        <w:trPr>
          <w:trHeight w:val="567"/>
        </w:trPr>
        <w:tc>
          <w:tcPr>
            <w:tcW w:w="3334" w:type="dxa"/>
            <w:vAlign w:val="center"/>
          </w:tcPr>
          <w:p w:rsidR="00741404" w:rsidRPr="005178C4" w:rsidRDefault="000072BA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A.O.U. OSPEDALI RIUNITI ANCONA</w:t>
            </w:r>
          </w:p>
        </w:tc>
        <w:tc>
          <w:tcPr>
            <w:tcW w:w="4458" w:type="dxa"/>
            <w:vAlign w:val="center"/>
          </w:tcPr>
          <w:p w:rsidR="000072BA" w:rsidRPr="005178C4" w:rsidRDefault="000072BA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P.O. UMBERTO I°</w:t>
            </w:r>
          </w:p>
        </w:tc>
        <w:tc>
          <w:tcPr>
            <w:tcW w:w="2278" w:type="dxa"/>
            <w:vAlign w:val="center"/>
          </w:tcPr>
          <w:p w:rsidR="000072BA" w:rsidRPr="005178C4" w:rsidRDefault="000072BA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ONCOLOGIA</w:t>
            </w:r>
          </w:p>
        </w:tc>
      </w:tr>
      <w:tr w:rsidR="001E4BE8" w:rsidRPr="005178C4" w:rsidTr="005178C4">
        <w:trPr>
          <w:trHeight w:val="567"/>
        </w:trPr>
        <w:tc>
          <w:tcPr>
            <w:tcW w:w="3334" w:type="dxa"/>
            <w:vAlign w:val="center"/>
          </w:tcPr>
          <w:p w:rsidR="001E4BE8" w:rsidRPr="005178C4" w:rsidRDefault="001E4BE8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AV1</w:t>
            </w:r>
          </w:p>
        </w:tc>
        <w:tc>
          <w:tcPr>
            <w:tcW w:w="4458" w:type="dxa"/>
            <w:vAlign w:val="center"/>
          </w:tcPr>
          <w:p w:rsidR="001E4BE8" w:rsidRPr="005178C4" w:rsidRDefault="001E4BE8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OSPEDALE URBINO</w:t>
            </w:r>
          </w:p>
        </w:tc>
        <w:tc>
          <w:tcPr>
            <w:tcW w:w="2278" w:type="dxa"/>
            <w:vAlign w:val="center"/>
          </w:tcPr>
          <w:p w:rsidR="001E4BE8" w:rsidRPr="005178C4" w:rsidRDefault="001E4BE8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ONCOLOGIA</w:t>
            </w:r>
          </w:p>
        </w:tc>
      </w:tr>
      <w:tr w:rsidR="001E4BE8" w:rsidRPr="005178C4" w:rsidTr="005178C4">
        <w:trPr>
          <w:trHeight w:val="567"/>
        </w:trPr>
        <w:tc>
          <w:tcPr>
            <w:tcW w:w="3334" w:type="dxa"/>
            <w:vAlign w:val="center"/>
          </w:tcPr>
          <w:p w:rsidR="001E4BE8" w:rsidRPr="005178C4" w:rsidRDefault="001E4BE8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AV2</w:t>
            </w:r>
          </w:p>
        </w:tc>
        <w:tc>
          <w:tcPr>
            <w:tcW w:w="4458" w:type="dxa"/>
            <w:vAlign w:val="center"/>
          </w:tcPr>
          <w:p w:rsidR="001E4BE8" w:rsidRPr="005178C4" w:rsidRDefault="001E4BE8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P.O. SENIGALLIA</w:t>
            </w:r>
          </w:p>
        </w:tc>
        <w:tc>
          <w:tcPr>
            <w:tcW w:w="2278" w:type="dxa"/>
            <w:vAlign w:val="center"/>
          </w:tcPr>
          <w:p w:rsidR="001E4BE8" w:rsidRPr="005178C4" w:rsidRDefault="001E4BE8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ONCOLOGIA</w:t>
            </w:r>
          </w:p>
        </w:tc>
      </w:tr>
      <w:tr w:rsidR="000072BA" w:rsidRPr="005178C4" w:rsidTr="005178C4">
        <w:trPr>
          <w:trHeight w:val="567"/>
        </w:trPr>
        <w:tc>
          <w:tcPr>
            <w:tcW w:w="3334" w:type="dxa"/>
            <w:vAlign w:val="center"/>
          </w:tcPr>
          <w:p w:rsidR="00DF57EA" w:rsidRPr="005178C4" w:rsidRDefault="000072BA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</w:t>
            </w:r>
            <w:r w:rsidR="001E4BE8"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 xml:space="preserve"> – AV2</w:t>
            </w:r>
          </w:p>
        </w:tc>
        <w:tc>
          <w:tcPr>
            <w:tcW w:w="4458" w:type="dxa"/>
            <w:vAlign w:val="center"/>
          </w:tcPr>
          <w:p w:rsidR="000072BA" w:rsidRPr="005178C4" w:rsidRDefault="000072BA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OSPEDALE PROFILI FABRIANO</w:t>
            </w:r>
          </w:p>
        </w:tc>
        <w:tc>
          <w:tcPr>
            <w:tcW w:w="2278" w:type="dxa"/>
            <w:vAlign w:val="center"/>
          </w:tcPr>
          <w:p w:rsidR="000072BA" w:rsidRPr="005178C4" w:rsidRDefault="000072BA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ONCOLOGIA</w:t>
            </w:r>
          </w:p>
        </w:tc>
      </w:tr>
      <w:tr w:rsidR="001E4BE8" w:rsidRPr="005178C4" w:rsidTr="005178C4">
        <w:trPr>
          <w:trHeight w:val="567"/>
        </w:trPr>
        <w:tc>
          <w:tcPr>
            <w:tcW w:w="3334" w:type="dxa"/>
            <w:vAlign w:val="center"/>
          </w:tcPr>
          <w:p w:rsidR="001E4BE8" w:rsidRPr="005178C4" w:rsidRDefault="001E4BE8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AV2</w:t>
            </w:r>
          </w:p>
        </w:tc>
        <w:tc>
          <w:tcPr>
            <w:tcW w:w="4458" w:type="dxa"/>
            <w:vAlign w:val="center"/>
          </w:tcPr>
          <w:p w:rsidR="001E4BE8" w:rsidRPr="005178C4" w:rsidRDefault="001E4BE8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OSPEDALE JESI</w:t>
            </w:r>
          </w:p>
        </w:tc>
        <w:tc>
          <w:tcPr>
            <w:tcW w:w="2278" w:type="dxa"/>
            <w:vAlign w:val="center"/>
          </w:tcPr>
          <w:p w:rsidR="001E4BE8" w:rsidRPr="005178C4" w:rsidRDefault="001E4BE8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ONCOLOGIA</w:t>
            </w:r>
          </w:p>
        </w:tc>
      </w:tr>
      <w:tr w:rsidR="001E4BE8" w:rsidRPr="005178C4" w:rsidTr="005178C4">
        <w:trPr>
          <w:trHeight w:val="567"/>
        </w:trPr>
        <w:tc>
          <w:tcPr>
            <w:tcW w:w="3334" w:type="dxa"/>
            <w:vAlign w:val="center"/>
          </w:tcPr>
          <w:p w:rsidR="001E4BE8" w:rsidRPr="005178C4" w:rsidRDefault="001E4BE8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AV3</w:t>
            </w:r>
          </w:p>
        </w:tc>
        <w:tc>
          <w:tcPr>
            <w:tcW w:w="4458" w:type="dxa"/>
            <w:vAlign w:val="center"/>
          </w:tcPr>
          <w:p w:rsidR="001E4BE8" w:rsidRPr="005178C4" w:rsidRDefault="001E4BE8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P.O. SAN SEVERINO</w:t>
            </w:r>
          </w:p>
        </w:tc>
        <w:tc>
          <w:tcPr>
            <w:tcW w:w="2278" w:type="dxa"/>
            <w:vAlign w:val="center"/>
          </w:tcPr>
          <w:p w:rsidR="001E4BE8" w:rsidRPr="005178C4" w:rsidRDefault="001E4BE8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ONCOLOGIA</w:t>
            </w:r>
          </w:p>
        </w:tc>
      </w:tr>
      <w:tr w:rsidR="000072BA" w:rsidRPr="005178C4" w:rsidTr="005178C4">
        <w:trPr>
          <w:trHeight w:val="567"/>
        </w:trPr>
        <w:tc>
          <w:tcPr>
            <w:tcW w:w="3334" w:type="dxa"/>
            <w:vAlign w:val="center"/>
          </w:tcPr>
          <w:p w:rsidR="00DF57EA" w:rsidRPr="005178C4" w:rsidRDefault="000072BA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</w:t>
            </w:r>
            <w:r w:rsidR="001E4BE8"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 xml:space="preserve"> – AV3</w:t>
            </w:r>
          </w:p>
        </w:tc>
        <w:tc>
          <w:tcPr>
            <w:tcW w:w="4458" w:type="dxa"/>
            <w:vAlign w:val="center"/>
          </w:tcPr>
          <w:p w:rsidR="000072BA" w:rsidRPr="005178C4" w:rsidRDefault="000072BA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OSPEDALE GENERALE PROVINCIALE - MACERATA</w:t>
            </w:r>
          </w:p>
        </w:tc>
        <w:tc>
          <w:tcPr>
            <w:tcW w:w="2278" w:type="dxa"/>
            <w:vAlign w:val="center"/>
          </w:tcPr>
          <w:p w:rsidR="000072BA" w:rsidRPr="005178C4" w:rsidRDefault="000072BA" w:rsidP="005178C4">
            <w:pPr>
              <w:rPr>
                <w:rFonts w:ascii="Bookman Old Style" w:hAnsi="Bookman Old Style"/>
                <w:sz w:val="22"/>
                <w:szCs w:val="22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ONCOLOGIA</w:t>
            </w:r>
          </w:p>
        </w:tc>
      </w:tr>
      <w:tr w:rsidR="00741404" w:rsidRPr="005178C4" w:rsidTr="005178C4">
        <w:trPr>
          <w:trHeight w:val="567"/>
        </w:trPr>
        <w:tc>
          <w:tcPr>
            <w:tcW w:w="3334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AV3</w:t>
            </w:r>
          </w:p>
        </w:tc>
        <w:tc>
          <w:tcPr>
            <w:tcW w:w="4458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OSPEDALE GENERALE PROVINCIALE - MACERATA</w:t>
            </w:r>
          </w:p>
        </w:tc>
        <w:tc>
          <w:tcPr>
            <w:tcW w:w="2278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PNEUMOLOGIA</w:t>
            </w:r>
          </w:p>
        </w:tc>
      </w:tr>
      <w:tr w:rsidR="00741404" w:rsidRPr="005178C4" w:rsidTr="005178C4">
        <w:trPr>
          <w:trHeight w:val="567"/>
        </w:trPr>
        <w:tc>
          <w:tcPr>
            <w:tcW w:w="3334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AV4</w:t>
            </w:r>
          </w:p>
        </w:tc>
        <w:tc>
          <w:tcPr>
            <w:tcW w:w="4458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OSPEDALE FERMO</w:t>
            </w:r>
          </w:p>
        </w:tc>
        <w:tc>
          <w:tcPr>
            <w:tcW w:w="2278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sz w:val="22"/>
                <w:szCs w:val="22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ONCOLOGIA</w:t>
            </w:r>
          </w:p>
        </w:tc>
      </w:tr>
      <w:tr w:rsidR="00741404" w:rsidRPr="005178C4" w:rsidTr="005178C4">
        <w:trPr>
          <w:trHeight w:val="567"/>
        </w:trPr>
        <w:tc>
          <w:tcPr>
            <w:tcW w:w="3334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AV5</w:t>
            </w:r>
          </w:p>
        </w:tc>
        <w:tc>
          <w:tcPr>
            <w:tcW w:w="4458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P.O. SAN BENEDETTO</w:t>
            </w:r>
          </w:p>
        </w:tc>
        <w:tc>
          <w:tcPr>
            <w:tcW w:w="2278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ONCOLOGIA</w:t>
            </w:r>
          </w:p>
        </w:tc>
      </w:tr>
      <w:tr w:rsidR="00741404" w:rsidRPr="005178C4" w:rsidTr="005178C4">
        <w:trPr>
          <w:trHeight w:val="567"/>
        </w:trPr>
        <w:tc>
          <w:tcPr>
            <w:tcW w:w="3334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AV5</w:t>
            </w:r>
          </w:p>
        </w:tc>
        <w:tc>
          <w:tcPr>
            <w:tcW w:w="4458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P.O. UNICO ZT13 ASCOLI</w:t>
            </w:r>
          </w:p>
        </w:tc>
        <w:tc>
          <w:tcPr>
            <w:tcW w:w="2278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sz w:val="22"/>
                <w:szCs w:val="22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ONCOLOGIA</w:t>
            </w:r>
          </w:p>
        </w:tc>
      </w:tr>
      <w:tr w:rsidR="00741404" w:rsidRPr="005178C4" w:rsidTr="005178C4">
        <w:trPr>
          <w:trHeight w:val="567"/>
        </w:trPr>
        <w:tc>
          <w:tcPr>
            <w:tcW w:w="3334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AV5</w:t>
            </w:r>
          </w:p>
        </w:tc>
        <w:tc>
          <w:tcPr>
            <w:tcW w:w="4458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P.O. UNICO ZT13 ASCOLI</w:t>
            </w:r>
          </w:p>
        </w:tc>
        <w:tc>
          <w:tcPr>
            <w:tcW w:w="2278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PNEUMOLOGIA</w:t>
            </w:r>
          </w:p>
        </w:tc>
      </w:tr>
      <w:tr w:rsidR="00741404" w:rsidRPr="005178C4" w:rsidTr="005178C4">
        <w:trPr>
          <w:trHeight w:val="567"/>
        </w:trPr>
        <w:tc>
          <w:tcPr>
            <w:tcW w:w="3334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INRCA</w:t>
            </w:r>
          </w:p>
        </w:tc>
        <w:tc>
          <w:tcPr>
            <w:tcW w:w="4458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OSPEDALE INRCA -ANCONA</w:t>
            </w:r>
          </w:p>
        </w:tc>
        <w:tc>
          <w:tcPr>
            <w:tcW w:w="2278" w:type="dxa"/>
            <w:vAlign w:val="center"/>
          </w:tcPr>
          <w:p w:rsidR="00741404" w:rsidRPr="005178C4" w:rsidRDefault="00741404" w:rsidP="005178C4">
            <w:pPr>
              <w:rPr>
                <w:rFonts w:ascii="Bookman Old Style" w:hAnsi="Bookman Old Style"/>
                <w:sz w:val="22"/>
                <w:szCs w:val="22"/>
              </w:rPr>
            </w:pPr>
            <w:r w:rsidRPr="005178C4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ONCOLOGIA</w:t>
            </w:r>
          </w:p>
        </w:tc>
      </w:tr>
    </w:tbl>
    <w:p w:rsidR="000072BA" w:rsidRPr="00741404" w:rsidRDefault="000072BA" w:rsidP="00C9708C">
      <w:pPr>
        <w:jc w:val="both"/>
        <w:rPr>
          <w:rFonts w:ascii="Bookman Old Style" w:hAnsi="Bookman Old Style"/>
          <w:color w:val="auto"/>
          <w:sz w:val="18"/>
          <w:szCs w:val="18"/>
          <w:shd w:val="clear" w:color="auto" w:fill="FFFFFF"/>
        </w:rPr>
      </w:pPr>
    </w:p>
    <w:sectPr w:rsidR="000072BA" w:rsidRPr="00741404">
      <w:footerReference w:type="default" r:id="rId13"/>
      <w:headerReference w:type="first" r:id="rId14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D5" w:rsidRDefault="006514D5">
      <w:pPr>
        <w:spacing w:before="0" w:after="0"/>
      </w:pPr>
      <w:r>
        <w:separator/>
      </w:r>
    </w:p>
  </w:endnote>
  <w:endnote w:type="continuationSeparator" w:id="0">
    <w:p w:rsidR="006514D5" w:rsidRDefault="006514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272113"/>
      <w:docPartObj>
        <w:docPartGallery w:val="Page Numbers (Bottom of Page)"/>
        <w:docPartUnique/>
      </w:docPartObj>
    </w:sdtPr>
    <w:sdtEndPr/>
    <w:sdtContent>
      <w:p w:rsidR="00D5457C" w:rsidRDefault="00D5457C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65A9A35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:rsidR="00D5457C" w:rsidRDefault="00D5457C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047B3">
          <w:rPr>
            <w:noProof/>
          </w:rPr>
          <w:t>3</w:t>
        </w:r>
        <w:r>
          <w:fldChar w:fldCharType="end"/>
        </w:r>
      </w:p>
    </w:sdtContent>
  </w:sdt>
  <w:p w:rsidR="00D5457C" w:rsidRDefault="00D545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D5" w:rsidRDefault="006514D5">
      <w:pPr>
        <w:spacing w:before="0" w:after="0"/>
      </w:pPr>
      <w:r>
        <w:separator/>
      </w:r>
    </w:p>
  </w:footnote>
  <w:footnote w:type="continuationSeparator" w:id="0">
    <w:p w:rsidR="006514D5" w:rsidRDefault="006514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D5457C">
      <w:tc>
        <w:tcPr>
          <w:tcW w:w="2500" w:type="pct"/>
          <w:vAlign w:val="bottom"/>
        </w:tcPr>
        <w:p w:rsidR="00D5457C" w:rsidRDefault="00D5457C">
          <w:pPr>
            <w:spacing w:after="0"/>
          </w:pPr>
          <w:r>
            <w:rPr>
              <w:noProof/>
            </w:rPr>
            <w:drawing>
              <wp:inline distT="0" distB="0" distL="0" distR="0" wp14:anchorId="0955939D" wp14:editId="330CB598">
                <wp:extent cx="1685925" cy="692944"/>
                <wp:effectExtent l="0" t="0" r="0" b="0"/>
                <wp:docPr id="3" name="Immagine 2" descr="Risultati immagini per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Risultati immagini per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2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Fare clic sull'icona per sostituire l'immagine"/>
          <w:tag w:val="Fare clic sull'icona per sostituire l'immagin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D5457C" w:rsidRDefault="00D5457C">
              <w:pPr>
                <w:pStyle w:val="Intestazione"/>
              </w:pPr>
              <w:r>
                <w:rPr>
                  <w:noProof/>
                </w:rPr>
                <w:drawing>
                  <wp:inline distT="0" distB="0" distL="0" distR="0" wp14:anchorId="6A77B17F" wp14:editId="0CE1568B">
                    <wp:extent cx="1714500" cy="773906"/>
                    <wp:effectExtent l="0" t="0" r="0" b="7620"/>
                    <wp:docPr id="14" name="Immagine 13" descr="http://www.hansproject.org/Portals/0/Skins/HANS_Skin_rev31/immagini/that-TEST6_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magine 13" descr="http://www.hansproject.org/Portals/0/Skins/HANS_Skin_rev31/immagini/that-TEST6_1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773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5457C" w:rsidRDefault="00D545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F46"/>
    <w:multiLevelType w:val="hybridMultilevel"/>
    <w:tmpl w:val="E81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ED8"/>
    <w:multiLevelType w:val="hybridMultilevel"/>
    <w:tmpl w:val="934A2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41A"/>
    <w:multiLevelType w:val="hybridMultilevel"/>
    <w:tmpl w:val="E8D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323C"/>
    <w:multiLevelType w:val="hybridMultilevel"/>
    <w:tmpl w:val="A780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68C6837"/>
    <w:multiLevelType w:val="hybridMultilevel"/>
    <w:tmpl w:val="A7C84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BD3"/>
    <w:multiLevelType w:val="hybridMultilevel"/>
    <w:tmpl w:val="426EDB6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30E1641"/>
    <w:multiLevelType w:val="hybridMultilevel"/>
    <w:tmpl w:val="01E05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1158"/>
    <w:multiLevelType w:val="hybridMultilevel"/>
    <w:tmpl w:val="2FAE7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25C9"/>
    <w:multiLevelType w:val="hybridMultilevel"/>
    <w:tmpl w:val="B4FEE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C0FBF"/>
    <w:multiLevelType w:val="multilevel"/>
    <w:tmpl w:val="A59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811AE6"/>
    <w:multiLevelType w:val="hybridMultilevel"/>
    <w:tmpl w:val="40D45E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A3008"/>
    <w:multiLevelType w:val="hybridMultilevel"/>
    <w:tmpl w:val="A47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2D8D"/>
    <w:multiLevelType w:val="hybridMultilevel"/>
    <w:tmpl w:val="492A2B0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503C52"/>
    <w:multiLevelType w:val="hybridMultilevel"/>
    <w:tmpl w:val="989E70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DB32C0"/>
    <w:multiLevelType w:val="hybridMultilevel"/>
    <w:tmpl w:val="73B8D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it-IT" w:vendorID="64" w:dllVersion="131078" w:nlCheck="1" w:checkStyle="0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1"/>
    <w:rsid w:val="000072BA"/>
    <w:rsid w:val="00012557"/>
    <w:rsid w:val="00027448"/>
    <w:rsid w:val="000459D8"/>
    <w:rsid w:val="00051B01"/>
    <w:rsid w:val="00066921"/>
    <w:rsid w:val="00086889"/>
    <w:rsid w:val="000D5AE7"/>
    <w:rsid w:val="000E5124"/>
    <w:rsid w:val="001161EA"/>
    <w:rsid w:val="00157130"/>
    <w:rsid w:val="00185A65"/>
    <w:rsid w:val="001D7DBA"/>
    <w:rsid w:val="001E4BE8"/>
    <w:rsid w:val="001F59D9"/>
    <w:rsid w:val="001F61C0"/>
    <w:rsid w:val="00221B79"/>
    <w:rsid w:val="00225C2E"/>
    <w:rsid w:val="0026366D"/>
    <w:rsid w:val="00297984"/>
    <w:rsid w:val="002B0F37"/>
    <w:rsid w:val="002B1A80"/>
    <w:rsid w:val="0035421E"/>
    <w:rsid w:val="0036393B"/>
    <w:rsid w:val="003A030E"/>
    <w:rsid w:val="003A66A6"/>
    <w:rsid w:val="003C1F13"/>
    <w:rsid w:val="003C3CB9"/>
    <w:rsid w:val="003C60AE"/>
    <w:rsid w:val="003D2DBF"/>
    <w:rsid w:val="003D3715"/>
    <w:rsid w:val="003E67C7"/>
    <w:rsid w:val="004122A3"/>
    <w:rsid w:val="00443DA2"/>
    <w:rsid w:val="00465F14"/>
    <w:rsid w:val="004773C1"/>
    <w:rsid w:val="00492A7A"/>
    <w:rsid w:val="00495531"/>
    <w:rsid w:val="004B22D5"/>
    <w:rsid w:val="004B7D73"/>
    <w:rsid w:val="004C0AF8"/>
    <w:rsid w:val="004D7D40"/>
    <w:rsid w:val="004E4E8A"/>
    <w:rsid w:val="004E7965"/>
    <w:rsid w:val="004F5B99"/>
    <w:rsid w:val="004F5D52"/>
    <w:rsid w:val="005011ED"/>
    <w:rsid w:val="005178C4"/>
    <w:rsid w:val="00531BB4"/>
    <w:rsid w:val="00551373"/>
    <w:rsid w:val="00587C03"/>
    <w:rsid w:val="005A59D1"/>
    <w:rsid w:val="005B1182"/>
    <w:rsid w:val="005C0D55"/>
    <w:rsid w:val="005C3F78"/>
    <w:rsid w:val="0060036B"/>
    <w:rsid w:val="00604EAE"/>
    <w:rsid w:val="00613638"/>
    <w:rsid w:val="00624DD7"/>
    <w:rsid w:val="00636E92"/>
    <w:rsid w:val="00644D81"/>
    <w:rsid w:val="006514D5"/>
    <w:rsid w:val="00663D74"/>
    <w:rsid w:val="00690745"/>
    <w:rsid w:val="006A6987"/>
    <w:rsid w:val="006B4E0B"/>
    <w:rsid w:val="006C3A26"/>
    <w:rsid w:val="006C57CF"/>
    <w:rsid w:val="006C7E77"/>
    <w:rsid w:val="00705626"/>
    <w:rsid w:val="00711107"/>
    <w:rsid w:val="00716C95"/>
    <w:rsid w:val="00741404"/>
    <w:rsid w:val="00777C21"/>
    <w:rsid w:val="007A74BF"/>
    <w:rsid w:val="007B409F"/>
    <w:rsid w:val="007F0B6D"/>
    <w:rsid w:val="00800C91"/>
    <w:rsid w:val="00804479"/>
    <w:rsid w:val="00810EB2"/>
    <w:rsid w:val="0083596E"/>
    <w:rsid w:val="00846B3B"/>
    <w:rsid w:val="008514EF"/>
    <w:rsid w:val="008B594C"/>
    <w:rsid w:val="008D1419"/>
    <w:rsid w:val="008D6DB7"/>
    <w:rsid w:val="008F7318"/>
    <w:rsid w:val="00905A0F"/>
    <w:rsid w:val="009309D9"/>
    <w:rsid w:val="00995551"/>
    <w:rsid w:val="009B7A26"/>
    <w:rsid w:val="009C6AF8"/>
    <w:rsid w:val="00A0271A"/>
    <w:rsid w:val="00A15CEA"/>
    <w:rsid w:val="00A16D92"/>
    <w:rsid w:val="00A310DC"/>
    <w:rsid w:val="00A313EF"/>
    <w:rsid w:val="00A37A25"/>
    <w:rsid w:val="00A56DAE"/>
    <w:rsid w:val="00A67134"/>
    <w:rsid w:val="00A770FF"/>
    <w:rsid w:val="00A9159C"/>
    <w:rsid w:val="00A964AA"/>
    <w:rsid w:val="00AB14A4"/>
    <w:rsid w:val="00AC385D"/>
    <w:rsid w:val="00AD1125"/>
    <w:rsid w:val="00AE73F2"/>
    <w:rsid w:val="00AF38B9"/>
    <w:rsid w:val="00B00E77"/>
    <w:rsid w:val="00B52635"/>
    <w:rsid w:val="00B90641"/>
    <w:rsid w:val="00BA1583"/>
    <w:rsid w:val="00BC53C6"/>
    <w:rsid w:val="00C047B3"/>
    <w:rsid w:val="00C12BD3"/>
    <w:rsid w:val="00C16F34"/>
    <w:rsid w:val="00C33F56"/>
    <w:rsid w:val="00C57570"/>
    <w:rsid w:val="00C9708C"/>
    <w:rsid w:val="00CB2919"/>
    <w:rsid w:val="00CD1365"/>
    <w:rsid w:val="00CF6B23"/>
    <w:rsid w:val="00D05E83"/>
    <w:rsid w:val="00D126A1"/>
    <w:rsid w:val="00D32ABF"/>
    <w:rsid w:val="00D5457C"/>
    <w:rsid w:val="00D55EFD"/>
    <w:rsid w:val="00DF57EA"/>
    <w:rsid w:val="00E23724"/>
    <w:rsid w:val="00E31521"/>
    <w:rsid w:val="00E523DB"/>
    <w:rsid w:val="00E56DDB"/>
    <w:rsid w:val="00E806EC"/>
    <w:rsid w:val="00EA5A8C"/>
    <w:rsid w:val="00EE7C89"/>
    <w:rsid w:val="00EF7F6A"/>
    <w:rsid w:val="00F02067"/>
    <w:rsid w:val="00F16F0B"/>
    <w:rsid w:val="00F24787"/>
    <w:rsid w:val="00F35143"/>
    <w:rsid w:val="00F5284F"/>
    <w:rsid w:val="00F57D39"/>
    <w:rsid w:val="00F761E7"/>
    <w:rsid w:val="00F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2E6EA-2B2D-468E-98CA-1821771E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20"/>
    </w:rPr>
  </w:style>
  <w:style w:type="paragraph" w:styleId="Nessunaspaziatura">
    <w:name w:val="No Spacing"/>
    <w:link w:val="NessunaspaziaturaCarattere"/>
    <w:uiPriority w:val="1"/>
    <w:qFormat/>
    <w:pPr>
      <w:spacing w:before="0" w:after="0"/>
    </w:pPr>
  </w:style>
  <w:style w:type="character" w:styleId="Enfasigrassetto">
    <w:name w:val="Strong"/>
    <w:basedOn w:val="Carpredefinitoparagrafo"/>
    <w:uiPriority w:val="1"/>
    <w:unhideWhenUsed/>
    <w:qFormat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table" w:styleId="Grigliatabella">
    <w:name w:val="Table Grid"/>
    <w:basedOn w:val="Tabellanorma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Formuladichiusura">
    <w:name w:val="Closing"/>
    <w:basedOn w:val="Normale"/>
    <w:link w:val="FormuladichiusuraCarattere"/>
    <w:uiPriority w:val="99"/>
    <w:unhideWhenUsed/>
    <w:pPr>
      <w:spacing w:before="600" w:after="8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Pr>
      <w:kern w:val="20"/>
    </w:rPr>
  </w:style>
  <w:style w:type="table" w:customStyle="1" w:styleId="TabellaRapportostato">
    <w:name w:val="Tabella Rapporto stato"/>
    <w:basedOn w:val="Tabellanorma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foelenco">
    <w:name w:val="List Paragraph"/>
    <w:basedOn w:val="Normale"/>
    <w:uiPriority w:val="34"/>
    <w:qFormat/>
    <w:rsid w:val="000459D8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64AA"/>
    <w:rPr>
      <w:color w:val="646464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89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3D2DB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37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A37A25"/>
    <w:rPr>
      <w:i/>
      <w:iCs/>
    </w:rPr>
  </w:style>
  <w:style w:type="character" w:customStyle="1" w:styleId="apple-converted-space">
    <w:name w:val="apple-converted-space"/>
    <w:basedOn w:val="Carpredefinitoparagrafo"/>
    <w:rsid w:val="00A3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enziafarmaco.gov.it/it/content/registri-farmaci-sottoposti-monitoraggi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nziafarmaco.gov.it/it/content/registri-farmaci-sottoposti-monitoraggi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genziafarmaco.gov.it/registr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_sagratella\AppData\Roaming\Microsoft\Templates\Relazione%20di%20stato%20del%20proget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BF413EF9-1E6D-4003-8C46-6C11FAA2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stato del progetto.dotx</Template>
  <TotalTime>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Sagratella</dc:creator>
  <cp:lastModifiedBy>Andrea Caprodossi</cp:lastModifiedBy>
  <cp:revision>3</cp:revision>
  <cp:lastPrinted>2017-03-09T11:08:00Z</cp:lastPrinted>
  <dcterms:created xsi:type="dcterms:W3CDTF">2019-09-12T12:27:00Z</dcterms:created>
  <dcterms:modified xsi:type="dcterms:W3CDTF">2019-09-12T12:27:00Z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