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1E" w:rsidRDefault="0035421E" w:rsidP="00C9708C">
      <w:pPr>
        <w:pStyle w:val="Titolo"/>
        <w:spacing w:before="420" w:after="100"/>
        <w:jc w:val="center"/>
        <w:rPr>
          <w:rFonts w:ascii="Bookman Old Style" w:hAnsi="Bookman Old Style"/>
          <w:b/>
          <w:sz w:val="32"/>
          <w:szCs w:val="32"/>
        </w:rPr>
      </w:pPr>
      <w:r w:rsidRPr="00A67134">
        <w:rPr>
          <w:rFonts w:ascii="Bookman Old Style" w:hAnsi="Bookman Old Style"/>
          <w:b/>
          <w:sz w:val="32"/>
          <w:szCs w:val="32"/>
        </w:rPr>
        <w:t>CENTRI AUTORIZZATI ALLA DIAGNOSI E PRESCRIZIONE DI FARMACI SOTTOPOSTI A LIMITAZIONE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35421E" w:rsidRPr="003D2DBF" w:rsidRDefault="004E0DD7" w:rsidP="003D3715">
      <w:pPr>
        <w:pStyle w:val="Default"/>
        <w:jc w:val="center"/>
        <w:rPr>
          <w:rFonts w:ascii="Bookman Old Style" w:hAnsi="Bookman Old Style"/>
          <w:b/>
          <w:color w:val="FF0000"/>
          <w:sz w:val="36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QARZIBA</w:t>
      </w:r>
      <w:r w:rsidR="00F5284F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 w:rsidR="003D3715">
        <w:rPr>
          <w:rFonts w:ascii="Bookman Old Style" w:hAnsi="Bookman Old Style"/>
          <w:b/>
          <w:color w:val="FF0000"/>
          <w:sz w:val="32"/>
          <w:szCs w:val="32"/>
        </w:rPr>
        <w:t>(</w:t>
      </w:r>
      <w:r>
        <w:rPr>
          <w:rFonts w:ascii="Bookman Old Style" w:hAnsi="Bookman Old Style"/>
          <w:b/>
          <w:color w:val="FF0000"/>
          <w:sz w:val="32"/>
          <w:szCs w:val="32"/>
        </w:rPr>
        <w:t>DINUTUXIMAB BETA</w:t>
      </w:r>
      <w:r w:rsidR="003D3715">
        <w:rPr>
          <w:rFonts w:ascii="Bookman Old Style" w:hAnsi="Bookman Old Style"/>
          <w:b/>
          <w:color w:val="FF0000"/>
          <w:sz w:val="32"/>
          <w:szCs w:val="32"/>
        </w:rPr>
        <w:t>)</w:t>
      </w:r>
    </w:p>
    <w:p w:rsidR="0035421E" w:rsidRPr="00A67134" w:rsidRDefault="0035421E" w:rsidP="00C9708C"/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farmaco</w:t>
      </w:r>
    </w:p>
    <w:tbl>
      <w:tblPr>
        <w:tblStyle w:val="TabellaRapportostato"/>
        <w:tblW w:w="5000" w:type="pct"/>
        <w:tblLook w:val="04A0" w:firstRow="1" w:lastRow="0" w:firstColumn="1" w:lastColumn="0" w:noHBand="0" w:noVBand="1"/>
      </w:tblPr>
      <w:tblGrid>
        <w:gridCol w:w="2749"/>
        <w:gridCol w:w="3664"/>
        <w:gridCol w:w="3667"/>
      </w:tblGrid>
      <w:tr w:rsidR="0035421E" w:rsidRPr="00C57570" w:rsidTr="00CA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35421E" w:rsidRPr="00C57570" w:rsidRDefault="004E0DD7" w:rsidP="007A74BF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color w:val="auto"/>
                <w:sz w:val="24"/>
                <w:szCs w:val="24"/>
              </w:rPr>
              <w:t>QARZIBA</w:t>
            </w:r>
          </w:p>
        </w:tc>
        <w:tc>
          <w:tcPr>
            <w:tcW w:w="3664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principio attivo</w:t>
      </w:r>
    </w:p>
    <w:p w:rsidR="0035421E" w:rsidRPr="00C57570" w:rsidRDefault="004E0DD7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DINUTUXIMAB BETA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DOCUMENTAZIONE</w:t>
      </w:r>
    </w:p>
    <w:p w:rsidR="0035421E" w:rsidRPr="00B52635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 xml:space="preserve">Determina AIFA: 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n. </w:t>
      </w:r>
      <w:r w:rsidR="00A8377F">
        <w:rPr>
          <w:rFonts w:ascii="Bookman Old Style" w:hAnsi="Bookman Old Style"/>
          <w:color w:val="auto"/>
          <w:sz w:val="24"/>
          <w:szCs w:val="24"/>
        </w:rPr>
        <w:t>1</w:t>
      </w:r>
      <w:r w:rsidR="004E0DD7">
        <w:rPr>
          <w:rFonts w:ascii="Bookman Old Style" w:hAnsi="Bookman Old Style"/>
          <w:color w:val="auto"/>
          <w:sz w:val="24"/>
          <w:szCs w:val="24"/>
        </w:rPr>
        <w:t>1</w:t>
      </w:r>
      <w:r w:rsidR="00A8377F">
        <w:rPr>
          <w:rFonts w:ascii="Bookman Old Style" w:hAnsi="Bookman Old Style"/>
          <w:color w:val="auto"/>
          <w:sz w:val="24"/>
          <w:szCs w:val="24"/>
        </w:rPr>
        <w:t>17</w:t>
      </w:r>
      <w:r w:rsidR="003C1F13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60036B" w:rsidRPr="00B52635">
        <w:rPr>
          <w:rFonts w:ascii="Bookman Old Style" w:hAnsi="Bookman Old Style"/>
          <w:color w:val="auto"/>
          <w:sz w:val="24"/>
          <w:szCs w:val="24"/>
        </w:rPr>
        <w:t>del</w:t>
      </w:r>
      <w:r w:rsidR="00B52635" w:rsidRPr="00B52635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4E0DD7">
        <w:rPr>
          <w:rFonts w:ascii="Bookman Old Style" w:hAnsi="Bookman Old Style"/>
          <w:color w:val="auto"/>
          <w:sz w:val="24"/>
          <w:szCs w:val="24"/>
        </w:rPr>
        <w:t>13 luglio</w:t>
      </w:r>
      <w:r w:rsidR="003D3715">
        <w:rPr>
          <w:rFonts w:ascii="Bookman Old Style" w:hAnsi="Bookman Old Style"/>
          <w:color w:val="auto"/>
          <w:sz w:val="24"/>
          <w:szCs w:val="24"/>
        </w:rPr>
        <w:t xml:space="preserve"> 201</w:t>
      </w:r>
      <w:r w:rsidR="00A8377F">
        <w:rPr>
          <w:rFonts w:ascii="Bookman Old Style" w:hAnsi="Bookman Old Style"/>
          <w:color w:val="auto"/>
          <w:sz w:val="24"/>
          <w:szCs w:val="24"/>
        </w:rPr>
        <w:t>8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; </w:t>
      </w:r>
    </w:p>
    <w:p w:rsidR="0035421E" w:rsidRPr="00B52635" w:rsidRDefault="0035421E" w:rsidP="00C9708C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O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ggetto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0D5AE7"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  <w:t>Classificazione del medicinale per uso umano “</w:t>
      </w:r>
      <w:proofErr w:type="spellStart"/>
      <w:r w:rsidR="004E0DD7"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  <w:t>Qarziba</w:t>
      </w:r>
      <w:proofErr w:type="spellEnd"/>
      <w:r w:rsidR="000D5AE7"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  <w:t>”, ai sensi dell’articolo 8, comma 10, della legge 24 dicembre 1993, n.537</w:t>
      </w:r>
    </w:p>
    <w:p w:rsidR="003C1F13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D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isposizione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Rimborsabilità a carico del SSN a partire dal </w:t>
      </w:r>
      <w:r w:rsidR="004E0DD7">
        <w:rPr>
          <w:rFonts w:ascii="Bookman Old Style" w:hAnsi="Bookman Old Style"/>
          <w:color w:val="auto"/>
          <w:sz w:val="24"/>
          <w:szCs w:val="24"/>
        </w:rPr>
        <w:t>01/08/2018</w:t>
      </w:r>
      <w:r w:rsidRPr="00B52635">
        <w:rPr>
          <w:rFonts w:ascii="Bookman Old Style" w:hAnsi="Bookman Old Style"/>
          <w:color w:val="auto"/>
          <w:sz w:val="24"/>
          <w:szCs w:val="24"/>
        </w:rPr>
        <w:t>.</w:t>
      </w:r>
    </w:p>
    <w:p w:rsidR="0035421E" w:rsidRPr="00777C21" w:rsidRDefault="000D5AE7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INDICAZIONE TERAPEUTICA</w:t>
      </w:r>
      <w:r w:rsidR="00E312B7">
        <w:rPr>
          <w:rFonts w:ascii="Bookman Old Style" w:hAnsi="Bookman Old Style"/>
          <w:b/>
          <w:sz w:val="24"/>
          <w:szCs w:val="24"/>
        </w:rPr>
        <w:t xml:space="preserve"> RIMBORSATA</w:t>
      </w:r>
    </w:p>
    <w:p w:rsidR="00877DDA" w:rsidRDefault="004E0DD7" w:rsidP="004E0DD7">
      <w:pPr>
        <w:pStyle w:val="NormaleWeb"/>
        <w:spacing w:before="0" w:after="0" w:line="276" w:lineRule="auto"/>
        <w:jc w:val="both"/>
        <w:rPr>
          <w:rFonts w:ascii="Bookman Old Style" w:hAnsi="Bookman Old Style"/>
        </w:rPr>
      </w:pPr>
      <w:proofErr w:type="spellStart"/>
      <w:r w:rsidRPr="004E0DD7">
        <w:rPr>
          <w:rFonts w:ascii="Bookman Old Style" w:hAnsi="Bookman Old Style"/>
        </w:rPr>
        <w:t>Qarziba</w:t>
      </w:r>
      <w:proofErr w:type="spellEnd"/>
      <w:r w:rsidRPr="004E0DD7">
        <w:rPr>
          <w:rFonts w:ascii="Bookman Old Style" w:hAnsi="Bookman Old Style"/>
        </w:rPr>
        <w:t xml:space="preserve"> è indicato nel trattamento del neuroblastoma ad alto rischio in pazienti a partire dai 12 mesi di età che sono stati precedentemente sottoposti a chemioterapia di induzione conseguendo almeno una risposta parziale, seguita da terapia </w:t>
      </w:r>
      <w:proofErr w:type="spellStart"/>
      <w:r w:rsidRPr="004E0DD7">
        <w:rPr>
          <w:rFonts w:ascii="Bookman Old Style" w:hAnsi="Bookman Old Style"/>
        </w:rPr>
        <w:t>mieloablativa</w:t>
      </w:r>
      <w:proofErr w:type="spellEnd"/>
      <w:r w:rsidRPr="004E0DD7">
        <w:rPr>
          <w:rFonts w:ascii="Bookman Old Style" w:hAnsi="Bookman Old Style"/>
        </w:rPr>
        <w:t xml:space="preserve"> e trapianto di cellule staminali, nonché in pazienti con storia clinica di neuroblastoma recidivante o refrattario, con o senza malattia residua. Prima del trattamento del neuroblastoma recidivante, qualsiasi malattia in fase di progressione attiva dovrebbe essere stabilizzata mediante altre misure adeguate.</w:t>
      </w:r>
      <w:r>
        <w:rPr>
          <w:rFonts w:ascii="Bookman Old Style" w:hAnsi="Bookman Old Style"/>
        </w:rPr>
        <w:t xml:space="preserve"> </w:t>
      </w:r>
      <w:r w:rsidRPr="004E0DD7">
        <w:rPr>
          <w:rFonts w:ascii="Bookman Old Style" w:hAnsi="Bookman Old Style"/>
        </w:rPr>
        <w:t xml:space="preserve">In pazienti con una storia clinica di malattia recidivante/refrattaria e in pazienti che non hanno conseguito una risposta completa dopo una terapia di prima linea, </w:t>
      </w:r>
      <w:proofErr w:type="spellStart"/>
      <w:r w:rsidRPr="004E0DD7">
        <w:rPr>
          <w:rFonts w:ascii="Bookman Old Style" w:hAnsi="Bookman Old Style"/>
        </w:rPr>
        <w:t>Qarziba</w:t>
      </w:r>
      <w:proofErr w:type="spellEnd"/>
      <w:r w:rsidRPr="004E0DD7">
        <w:rPr>
          <w:rFonts w:ascii="Bookman Old Style" w:hAnsi="Bookman Old Style"/>
        </w:rPr>
        <w:t xml:space="preserve"> deve essere associato a terapia con interleuchina-2 (IL-2).</w:t>
      </w:r>
    </w:p>
    <w:p w:rsidR="00877DDA" w:rsidRDefault="00877DDA" w:rsidP="00F5284F">
      <w:pPr>
        <w:pStyle w:val="NormaleWeb"/>
        <w:spacing w:before="0" w:beforeAutospacing="0" w:after="0" w:afterAutospacing="0" w:line="276" w:lineRule="auto"/>
        <w:jc w:val="both"/>
        <w:rPr>
          <w:rFonts w:ascii="Bookman Old Style" w:hAnsi="Bookman Old Style"/>
        </w:rPr>
      </w:pPr>
    </w:p>
    <w:p w:rsidR="00012557" w:rsidRPr="00777C21" w:rsidRDefault="00800C91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GAZZETTA UFFICIALE</w:t>
      </w:r>
    </w:p>
    <w:p w:rsidR="00012557" w:rsidRPr="00B52635" w:rsidRDefault="00800C91" w:rsidP="00C9708C">
      <w:pPr>
        <w:shd w:val="clear" w:color="auto" w:fill="FFFFFF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>N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4E0DD7">
        <w:rPr>
          <w:rFonts w:ascii="Bookman Old Style" w:hAnsi="Bookman Old Style"/>
          <w:color w:val="auto"/>
          <w:sz w:val="24"/>
          <w:szCs w:val="24"/>
        </w:rPr>
        <w:t>176</w:t>
      </w:r>
      <w:r>
        <w:rPr>
          <w:rFonts w:ascii="Bookman Old Style" w:hAnsi="Bookman Old Style"/>
          <w:color w:val="auto"/>
          <w:sz w:val="24"/>
          <w:szCs w:val="24"/>
        </w:rPr>
        <w:t xml:space="preserve"> del </w:t>
      </w:r>
      <w:r w:rsidR="004E0DD7">
        <w:rPr>
          <w:rFonts w:ascii="Bookman Old Style" w:hAnsi="Bookman Old Style"/>
          <w:color w:val="auto"/>
          <w:sz w:val="24"/>
          <w:szCs w:val="24"/>
        </w:rPr>
        <w:t>31/07/2018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 (in allegato). </w:t>
      </w:r>
    </w:p>
    <w:p w:rsidR="0035421E" w:rsidRPr="00A30FE0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A30FE0">
        <w:rPr>
          <w:rFonts w:ascii="Bookman Old Style" w:hAnsi="Bookman Old Style"/>
          <w:b/>
          <w:sz w:val="24"/>
          <w:szCs w:val="24"/>
        </w:rPr>
        <w:t>RIMBORSABILITA’</w:t>
      </w:r>
    </w:p>
    <w:p w:rsidR="00C9708C" w:rsidRPr="00705626" w:rsidRDefault="0035421E" w:rsidP="00B15030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Courier"/>
          <w:sz w:val="24"/>
          <w:szCs w:val="24"/>
        </w:rPr>
      </w:pPr>
      <w:r w:rsidRPr="00705626">
        <w:rPr>
          <w:rFonts w:ascii="Bookman Old Style" w:hAnsi="Bookman Old Style"/>
          <w:sz w:val="24"/>
          <w:szCs w:val="24"/>
        </w:rPr>
        <w:t xml:space="preserve">Classe di rimborsabilità </w:t>
      </w:r>
      <w:r w:rsidR="00C9708C" w:rsidRPr="00705626">
        <w:rPr>
          <w:rFonts w:ascii="Bookman Old Style" w:hAnsi="Bookman Old Style"/>
          <w:sz w:val="24"/>
          <w:szCs w:val="24"/>
        </w:rPr>
        <w:t>H</w:t>
      </w:r>
      <w:r w:rsidRPr="00705626">
        <w:rPr>
          <w:rFonts w:ascii="Bookman Old Style" w:hAnsi="Bookman Old Style"/>
          <w:sz w:val="24"/>
          <w:szCs w:val="24"/>
        </w:rPr>
        <w:t xml:space="preserve">; </w:t>
      </w:r>
    </w:p>
    <w:p w:rsidR="00935B74" w:rsidRDefault="00935B74" w:rsidP="00B15030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 xml:space="preserve">Attribuzione del requisito dell’innovazione terapeutica </w:t>
      </w:r>
      <w:r w:rsidR="00976537">
        <w:rPr>
          <w:rFonts w:ascii="Bookman Old Style" w:hAnsi="Bookman Old Style" w:cs="TimesNewRomanPSMT"/>
          <w:sz w:val="24"/>
          <w:szCs w:val="24"/>
        </w:rPr>
        <w:t>per l’indicazione “</w:t>
      </w:r>
      <w:r w:rsidR="00976537" w:rsidRPr="00976537">
        <w:rPr>
          <w:rFonts w:ascii="Bookman Old Style" w:hAnsi="Bookman Old Style" w:cs="TimesNewRomanPSMT"/>
          <w:sz w:val="24"/>
          <w:szCs w:val="24"/>
        </w:rPr>
        <w:t xml:space="preserve">trattamento del neuroblastoma ad alto rischio in pazienti a partire dai 12 mesi di età che sono stati precedentemente sottoposti a chemioterapia di induzione conseguendo almeno una risposta parziale, seguita da terapia </w:t>
      </w:r>
      <w:proofErr w:type="spellStart"/>
      <w:r w:rsidR="00976537" w:rsidRPr="00976537">
        <w:rPr>
          <w:rFonts w:ascii="Bookman Old Style" w:hAnsi="Bookman Old Style" w:cs="TimesNewRomanPSMT"/>
          <w:sz w:val="24"/>
          <w:szCs w:val="24"/>
        </w:rPr>
        <w:t>mieloablativa</w:t>
      </w:r>
      <w:proofErr w:type="spellEnd"/>
      <w:r w:rsidR="00976537" w:rsidRPr="00976537">
        <w:rPr>
          <w:rFonts w:ascii="Bookman Old Style" w:hAnsi="Bookman Old Style" w:cs="TimesNewRomanPSMT"/>
          <w:sz w:val="24"/>
          <w:szCs w:val="24"/>
        </w:rPr>
        <w:t xml:space="preserve"> e trapianto di cellule staminali</w:t>
      </w:r>
      <w:r w:rsidR="00976537">
        <w:rPr>
          <w:rFonts w:ascii="Bookman Old Style" w:hAnsi="Bookman Old Style" w:cs="TimesNewRomanPSMT"/>
          <w:sz w:val="24"/>
          <w:szCs w:val="24"/>
        </w:rPr>
        <w:t>” (scadenza 31/07/2021)</w:t>
      </w:r>
      <w:r w:rsidR="00B15030">
        <w:rPr>
          <w:rFonts w:ascii="Bookman Old Style" w:hAnsi="Bookman Old Style" w:cs="TimesNewRomanPSMT"/>
          <w:sz w:val="24"/>
          <w:szCs w:val="24"/>
        </w:rPr>
        <w:t>;</w:t>
      </w:r>
    </w:p>
    <w:p w:rsidR="00935B74" w:rsidRDefault="00935B74" w:rsidP="00B15030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Inserimento nel fondo dei farmaci innovativi</w:t>
      </w:r>
      <w:r w:rsidR="00976537">
        <w:rPr>
          <w:rFonts w:ascii="Bookman Old Style" w:hAnsi="Bookman Old Style" w:cs="TimesNewRomanPSMT"/>
          <w:sz w:val="24"/>
          <w:szCs w:val="24"/>
        </w:rPr>
        <w:t xml:space="preserve"> oncologici</w:t>
      </w:r>
      <w:r>
        <w:rPr>
          <w:rFonts w:ascii="Bookman Old Style" w:hAnsi="Bookman Old Style" w:cs="TimesNewRomanPSMT"/>
          <w:sz w:val="24"/>
          <w:szCs w:val="24"/>
        </w:rPr>
        <w:t>;</w:t>
      </w:r>
    </w:p>
    <w:p w:rsidR="00976537" w:rsidRDefault="00976537" w:rsidP="00B15030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Accesso ai benefici economici previsti dall’art. 1 comma 403 della legge 11 dicembre 2016, n. 232;</w:t>
      </w:r>
    </w:p>
    <w:p w:rsidR="00976537" w:rsidRDefault="00976537" w:rsidP="00B15030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Inserimento nei Prontuari terapeutici regionali nei termini previsti dalla normativa vigente;</w:t>
      </w:r>
    </w:p>
    <w:p w:rsidR="00935B74" w:rsidRDefault="00935B74" w:rsidP="00B15030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Inserimento nell’elenco dei farmaci innovativi</w:t>
      </w:r>
      <w:r w:rsidR="00976537">
        <w:rPr>
          <w:rFonts w:ascii="Bookman Old Style" w:hAnsi="Bookman Old Style" w:cs="TimesNewRomanPSMT"/>
          <w:sz w:val="24"/>
          <w:szCs w:val="24"/>
        </w:rPr>
        <w:t xml:space="preserve"> oncologici</w:t>
      </w:r>
      <w:r>
        <w:rPr>
          <w:rFonts w:ascii="Bookman Old Style" w:hAnsi="Bookman Old Style" w:cs="TimesNewRomanPSMT"/>
          <w:sz w:val="24"/>
          <w:szCs w:val="24"/>
        </w:rPr>
        <w:t>;</w:t>
      </w:r>
    </w:p>
    <w:p w:rsidR="000D5AE7" w:rsidRDefault="00935B74" w:rsidP="00B15030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NewRomanPSMT"/>
          <w:sz w:val="24"/>
          <w:szCs w:val="24"/>
        </w:rPr>
      </w:pPr>
      <w:r w:rsidRPr="00935B74">
        <w:rPr>
          <w:rFonts w:ascii="Bookman Old Style" w:hAnsi="Bookman Old Style" w:cs="TimesNewRomanPSMT"/>
          <w:sz w:val="24"/>
          <w:szCs w:val="24"/>
        </w:rPr>
        <w:t xml:space="preserve">La ditta rinuncia all'esenzione dall'applicazione delle riduzioni temporanee di legge di cui ai sensi delle </w:t>
      </w:r>
      <w:proofErr w:type="spellStart"/>
      <w:r w:rsidRPr="00935B74">
        <w:rPr>
          <w:rFonts w:ascii="Bookman Old Style" w:hAnsi="Bookman Old Style" w:cs="TimesNewRomanPSMT"/>
          <w:sz w:val="24"/>
          <w:szCs w:val="24"/>
        </w:rPr>
        <w:t>determine</w:t>
      </w:r>
      <w:proofErr w:type="spellEnd"/>
      <w:r w:rsidRPr="00935B74">
        <w:rPr>
          <w:rFonts w:ascii="Bookman Old Style" w:hAnsi="Bookman Old Style" w:cs="TimesNewRomanPSMT"/>
          <w:sz w:val="24"/>
          <w:szCs w:val="24"/>
        </w:rPr>
        <w:t xml:space="preserve"> AIFA del 3 luglio 2006 e dell'ulteriore riduzione del 5% ai sensi della determina AIFA del 27 settembre 2006</w:t>
      </w:r>
      <w:r>
        <w:rPr>
          <w:rFonts w:ascii="Bookman Old Style" w:hAnsi="Bookman Old Style" w:cs="TimesNewRomanPSMT"/>
          <w:sz w:val="24"/>
          <w:szCs w:val="24"/>
        </w:rPr>
        <w:t>;</w:t>
      </w:r>
    </w:p>
    <w:p w:rsidR="00935B74" w:rsidRPr="00935B74" w:rsidRDefault="00935B74" w:rsidP="00B15030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NewRomanPSMT"/>
          <w:sz w:val="24"/>
          <w:szCs w:val="24"/>
        </w:rPr>
      </w:pPr>
      <w:r w:rsidRPr="00935B74">
        <w:rPr>
          <w:rFonts w:ascii="Bookman Old Style" w:hAnsi="Bookman Old Style" w:cs="TimesNewRomanPSMT"/>
          <w:sz w:val="24"/>
          <w:szCs w:val="24"/>
        </w:rPr>
        <w:t xml:space="preserve">Sconto obbligatorio sul prezzo ex </w:t>
      </w:r>
      <w:proofErr w:type="spellStart"/>
      <w:r w:rsidRPr="00935B74">
        <w:rPr>
          <w:rFonts w:ascii="Bookman Old Style" w:hAnsi="Bookman Old Style" w:cs="TimesNewRomanPSMT"/>
          <w:sz w:val="24"/>
          <w:szCs w:val="24"/>
        </w:rPr>
        <w:t>factory</w:t>
      </w:r>
      <w:proofErr w:type="spellEnd"/>
      <w:r w:rsidRPr="00935B74">
        <w:rPr>
          <w:rFonts w:ascii="Bookman Old Style" w:hAnsi="Bookman Old Style" w:cs="TimesNewRomanPSMT"/>
          <w:sz w:val="24"/>
          <w:szCs w:val="24"/>
        </w:rPr>
        <w:t xml:space="preserve"> </w:t>
      </w:r>
      <w:r w:rsidR="0053190A">
        <w:rPr>
          <w:rFonts w:ascii="Bookman Old Style" w:hAnsi="Bookman Old Style" w:cs="TimesNewRomanPSMT"/>
          <w:sz w:val="24"/>
          <w:szCs w:val="24"/>
        </w:rPr>
        <w:t>per tutte le indicazioni terapeutiche da praticarsi alle strutture pubbliche del SSN</w:t>
      </w:r>
      <w:r w:rsidRPr="00935B74">
        <w:rPr>
          <w:rFonts w:ascii="Bookman Old Style" w:hAnsi="Bookman Old Style" w:cs="TimesNewRomanPSMT"/>
          <w:sz w:val="24"/>
          <w:szCs w:val="24"/>
        </w:rPr>
        <w:t>;</w:t>
      </w:r>
    </w:p>
    <w:p w:rsidR="00F5284F" w:rsidRPr="007A74BF" w:rsidRDefault="00F5284F" w:rsidP="00B15030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Validità contratto: 24 mesi.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FORNITURA</w:t>
      </w:r>
    </w:p>
    <w:p w:rsidR="00C9708C" w:rsidRPr="007A74BF" w:rsidRDefault="00C9708C" w:rsidP="00C9708C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</w:rPr>
      </w:pPr>
      <w:r w:rsidRPr="007A74BF">
        <w:rPr>
          <w:rFonts w:ascii="Bookman Old Style" w:hAnsi="Bookman Old Style" w:cs="TimesNewRomanPSMT"/>
          <w:color w:val="auto"/>
          <w:kern w:val="0"/>
          <w:sz w:val="24"/>
          <w:szCs w:val="24"/>
        </w:rPr>
        <w:t xml:space="preserve">Medicinale soggetto a prescrizione medica limitativa, </w:t>
      </w:r>
      <w:r w:rsidR="00972E14">
        <w:rPr>
          <w:rFonts w:ascii="Bookman Old Style" w:hAnsi="Bookman Old Style" w:cs="TimesNewRomanPSMT"/>
          <w:color w:val="auto"/>
          <w:kern w:val="0"/>
          <w:sz w:val="24"/>
          <w:szCs w:val="24"/>
        </w:rPr>
        <w:t>utilizzabile esclusivamente in ambiente ospedaliero o in struttura ad esso assimilabile (OSP).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PRESCRIZIONI A CARICO SSN</w:t>
      </w:r>
    </w:p>
    <w:p w:rsidR="0035421E" w:rsidRPr="007A74BF" w:rsidRDefault="0035421E" w:rsidP="00C9708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 xml:space="preserve">I centri utilizzatori specificatamente individuati dalle Regioni, dovranno compilare la scheda raccolta dati informatizzata di arruolamento che indica i pazienti eleggibili e la scheda di follow-up, applicando le indicazioni pubblicate sul sito dell’AIFA, piattaforma web – all’indirizzo: </w:t>
      </w:r>
      <w:hyperlink r:id="rId10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https://www.agenziafarmaco.gov.it/registri/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;</w:t>
      </w:r>
    </w:p>
    <w:p w:rsidR="0035421E" w:rsidRPr="007A74BF" w:rsidRDefault="0035421E" w:rsidP="00C9708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>Nelle more della piena attuazione del registro web-</w:t>
      </w:r>
      <w:proofErr w:type="spellStart"/>
      <w:r w:rsidRPr="007A74BF">
        <w:rPr>
          <w:rFonts w:ascii="Bookman Old Style" w:hAnsi="Bookman Old Style"/>
          <w:sz w:val="24"/>
          <w:szCs w:val="24"/>
        </w:rPr>
        <w:t>based</w:t>
      </w:r>
      <w:proofErr w:type="spellEnd"/>
      <w:r w:rsidRPr="007A74BF">
        <w:rPr>
          <w:rFonts w:ascii="Bookman Old Style" w:hAnsi="Bookman Old Style"/>
          <w:sz w:val="24"/>
          <w:szCs w:val="24"/>
        </w:rPr>
        <w:t xml:space="preserve">, al fine di garantire la disponibilità del trattamento ai pazienti le prescrizioni dovranno essere </w:t>
      </w:r>
      <w:r w:rsidR="003C1F13">
        <w:rPr>
          <w:rFonts w:ascii="Bookman Old Style" w:hAnsi="Bookman Old Style"/>
          <w:sz w:val="24"/>
          <w:szCs w:val="24"/>
        </w:rPr>
        <w:t>effettuate</w:t>
      </w:r>
      <w:r w:rsidRPr="007A74BF">
        <w:rPr>
          <w:rFonts w:ascii="Bookman Old Style" w:hAnsi="Bookman Old Style"/>
          <w:sz w:val="24"/>
          <w:szCs w:val="24"/>
        </w:rPr>
        <w:t xml:space="preserve"> nel rispetto dei criteri di eleggibilità e di appropriatezza prescrittiva riportati nella documentazione consultabile sul portale istituzionale dell’AIFA: </w:t>
      </w:r>
      <w:hyperlink r:id="rId11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 xml:space="preserve"> ;</w:t>
      </w:r>
    </w:p>
    <w:p w:rsidR="0035421E" w:rsidRPr="007A74BF" w:rsidRDefault="0035421E" w:rsidP="00C9708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A74BF">
        <w:rPr>
          <w:rFonts w:ascii="Bookman Old Style" w:hAnsi="Bookman Old Style"/>
          <w:sz w:val="24"/>
          <w:szCs w:val="24"/>
        </w:rPr>
        <w:lastRenderedPageBreak/>
        <w:t xml:space="preserve">I dati inerenti ai trattamenti effettuati a partire dalla data di entrata in vigore della deliberazione, tramite la modalità temporanea suindicata, dovranno essere successivamente riportati nella piattaforma web, secondo le modalità che saranno indicate nel sito: </w:t>
      </w:r>
      <w:hyperlink r:id="rId12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.</w:t>
      </w:r>
      <w:r w:rsidRPr="007A74BF">
        <w:rPr>
          <w:rFonts w:ascii="Bookman Old Style" w:hAnsi="Bookman Old Style"/>
          <w:sz w:val="24"/>
          <w:szCs w:val="24"/>
        </w:rPr>
        <w:t xml:space="preserve"> 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CENTRI AUTORIZZATI</w:t>
      </w:r>
    </w:p>
    <w:p w:rsidR="00935B74" w:rsidRDefault="00935B74" w:rsidP="00935B74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</w:p>
    <w:p w:rsidR="00935B74" w:rsidRDefault="00935B74" w:rsidP="00935B74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I</w:t>
      </w:r>
      <w:r w:rsidR="00943BED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l Centro autorizzato</w:t>
      </w: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alla prescrizione </w:t>
      </w:r>
      <w:r w:rsidR="00943BED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di </w:t>
      </w:r>
      <w:proofErr w:type="spellStart"/>
      <w:r w:rsidR="00943BED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Qarziba</w:t>
      </w:r>
      <w:proofErr w:type="spellEnd"/>
      <w:r w:rsidR="00943BED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è la SOS </w:t>
      </w:r>
      <w:proofErr w:type="spellStart"/>
      <w:r w:rsidR="00943BED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Oncoematologia</w:t>
      </w:r>
      <w:proofErr w:type="spellEnd"/>
      <w:r w:rsidR="00943BED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Pediatrica Azienda Ospedaliera “Ospedali Riuniti” - Presidio Salesi.</w:t>
      </w:r>
    </w:p>
    <w:p w:rsidR="00935B74" w:rsidRDefault="00935B74" w:rsidP="00935B74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</w:p>
    <w:p w:rsidR="00180B4C" w:rsidRDefault="00180B4C" w:rsidP="00935B74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  <w:r w:rsidRPr="00180B4C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Le Direzioni Sanitarie </w:t>
      </w: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degli Enti SSR </w:t>
      </w:r>
      <w:r w:rsidRPr="00180B4C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potranno inviare, alla PF Assistenza Farmaceutica dell'ARS Marche, eventuali proposte di integrazione, utilizzando il modello predisposto</w:t>
      </w: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.</w:t>
      </w:r>
    </w:p>
    <w:p w:rsidR="00935B74" w:rsidRDefault="00935B74" w:rsidP="00935B74">
      <w:pPr>
        <w:jc w:val="both"/>
        <w:rPr>
          <w:rFonts w:ascii="Bookman Old Style" w:hAnsi="Bookman Old Style"/>
          <w:color w:val="auto"/>
          <w:sz w:val="18"/>
          <w:szCs w:val="18"/>
          <w:shd w:val="clear" w:color="auto" w:fill="FFFFFF"/>
        </w:rPr>
      </w:pPr>
    </w:p>
    <w:p w:rsidR="000072BA" w:rsidRPr="002C51DA" w:rsidRDefault="000072BA" w:rsidP="00C9708C">
      <w:pPr>
        <w:jc w:val="both"/>
        <w:rPr>
          <w:rFonts w:ascii="Bookman Old Style" w:hAnsi="Bookman Old Style"/>
          <w:color w:val="auto"/>
          <w:sz w:val="18"/>
          <w:szCs w:val="18"/>
          <w:shd w:val="clear" w:color="auto" w:fill="FFFFFF"/>
        </w:rPr>
      </w:pPr>
      <w:bookmarkStart w:id="0" w:name="_GoBack"/>
      <w:bookmarkEnd w:id="0"/>
    </w:p>
    <w:sectPr w:rsidR="000072BA" w:rsidRPr="002C51DA">
      <w:footerReference w:type="default" r:id="rId13"/>
      <w:headerReference w:type="first" r:id="rId14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49" w:rsidRDefault="00764049">
      <w:pPr>
        <w:spacing w:before="0" w:after="0"/>
      </w:pPr>
      <w:r>
        <w:separator/>
      </w:r>
    </w:p>
  </w:endnote>
  <w:endnote w:type="continuationSeparator" w:id="0">
    <w:p w:rsidR="00764049" w:rsidRDefault="007640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272113"/>
      <w:docPartObj>
        <w:docPartGallery w:val="Page Numbers (Bottom of Page)"/>
        <w:docPartUnique/>
      </w:docPartObj>
    </w:sdtPr>
    <w:sdtEndPr/>
    <w:sdtContent>
      <w:p w:rsidR="00D5457C" w:rsidRDefault="00D5457C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4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65A9A35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:rsidR="00D5457C" w:rsidRDefault="00D5457C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80B4C">
          <w:rPr>
            <w:noProof/>
          </w:rPr>
          <w:t>2</w:t>
        </w:r>
        <w:r>
          <w:fldChar w:fldCharType="end"/>
        </w:r>
      </w:p>
    </w:sdtContent>
  </w:sdt>
  <w:p w:rsidR="00D5457C" w:rsidRDefault="00D545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49" w:rsidRDefault="00764049">
      <w:pPr>
        <w:spacing w:before="0" w:after="0"/>
      </w:pPr>
      <w:r>
        <w:separator/>
      </w:r>
    </w:p>
  </w:footnote>
  <w:footnote w:type="continuationSeparator" w:id="0">
    <w:p w:rsidR="00764049" w:rsidRDefault="007640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D5457C">
      <w:tc>
        <w:tcPr>
          <w:tcW w:w="2500" w:type="pct"/>
          <w:vAlign w:val="bottom"/>
        </w:tcPr>
        <w:p w:rsidR="00D5457C" w:rsidRDefault="00D5457C">
          <w:pPr>
            <w:spacing w:after="0"/>
          </w:pPr>
          <w:r>
            <w:rPr>
              <w:noProof/>
            </w:rPr>
            <w:drawing>
              <wp:inline distT="0" distB="0" distL="0" distR="0" wp14:anchorId="0955939D" wp14:editId="330CB598">
                <wp:extent cx="1685925" cy="692944"/>
                <wp:effectExtent l="0" t="0" r="0" b="0"/>
                <wp:docPr id="3" name="Immagine 2" descr="Risultati immagini per regione mar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Risultati immagini per regione mar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929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noProof/>
          </w:rPr>
          <w:alias w:val="Fare clic sull'icona per sostituire l'immagine"/>
          <w:tag w:val="Fare clic sull'icona per sostituire l'immagin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D5457C" w:rsidRDefault="00D5457C">
              <w:pPr>
                <w:pStyle w:val="Intestazione"/>
              </w:pPr>
              <w:r>
                <w:rPr>
                  <w:noProof/>
                </w:rPr>
                <w:drawing>
                  <wp:inline distT="0" distB="0" distL="0" distR="0" wp14:anchorId="6A77B17F" wp14:editId="0CE1568B">
                    <wp:extent cx="1714500" cy="773906"/>
                    <wp:effectExtent l="0" t="0" r="0" b="7620"/>
                    <wp:docPr id="14" name="Immagine 13" descr="http://www.hansproject.org/Portals/0/Skins/HANS_Skin_rev31/immagini/that-TEST6_17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" name="Immagine 13" descr="http://www.hansproject.org/Portals/0/Skins/HANS_Skin_rev31/immagini/that-TEST6_17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0" cy="7739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D5457C" w:rsidRDefault="00D545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F46"/>
    <w:multiLevelType w:val="hybridMultilevel"/>
    <w:tmpl w:val="E8128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ED8"/>
    <w:multiLevelType w:val="hybridMultilevel"/>
    <w:tmpl w:val="934A2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741A"/>
    <w:multiLevelType w:val="hybridMultilevel"/>
    <w:tmpl w:val="E8D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323C"/>
    <w:multiLevelType w:val="hybridMultilevel"/>
    <w:tmpl w:val="A7804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4340"/>
    <w:multiLevelType w:val="singleLevel"/>
    <w:tmpl w:val="6E285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68C6837"/>
    <w:multiLevelType w:val="hybridMultilevel"/>
    <w:tmpl w:val="A7C84C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4BD3"/>
    <w:multiLevelType w:val="hybridMultilevel"/>
    <w:tmpl w:val="426EDB62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530E1641"/>
    <w:multiLevelType w:val="hybridMultilevel"/>
    <w:tmpl w:val="01E05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61158"/>
    <w:multiLevelType w:val="hybridMultilevel"/>
    <w:tmpl w:val="2FAE7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125C9"/>
    <w:multiLevelType w:val="hybridMultilevel"/>
    <w:tmpl w:val="B4FEE1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C0FBF"/>
    <w:multiLevelType w:val="multilevel"/>
    <w:tmpl w:val="A59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811AE6"/>
    <w:multiLevelType w:val="hybridMultilevel"/>
    <w:tmpl w:val="40D45E1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A3008"/>
    <w:multiLevelType w:val="hybridMultilevel"/>
    <w:tmpl w:val="A4780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B2D8D"/>
    <w:multiLevelType w:val="hybridMultilevel"/>
    <w:tmpl w:val="492A2B0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503C52"/>
    <w:multiLevelType w:val="hybridMultilevel"/>
    <w:tmpl w:val="989E706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DB32C0"/>
    <w:multiLevelType w:val="hybridMultilevel"/>
    <w:tmpl w:val="73B8D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10"/>
  </w:num>
  <w:num w:numId="13">
    <w:abstractNumId w:val="15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A1"/>
    <w:rsid w:val="000072BA"/>
    <w:rsid w:val="00012557"/>
    <w:rsid w:val="00027448"/>
    <w:rsid w:val="000459D8"/>
    <w:rsid w:val="00066921"/>
    <w:rsid w:val="00086889"/>
    <w:rsid w:val="000D5AE7"/>
    <w:rsid w:val="000E5124"/>
    <w:rsid w:val="001161EA"/>
    <w:rsid w:val="00157130"/>
    <w:rsid w:val="00180B4C"/>
    <w:rsid w:val="00185A65"/>
    <w:rsid w:val="001D7DBA"/>
    <w:rsid w:val="001E4BE8"/>
    <w:rsid w:val="001F59D9"/>
    <w:rsid w:val="001F61C0"/>
    <w:rsid w:val="00221B79"/>
    <w:rsid w:val="00225C2E"/>
    <w:rsid w:val="0026366D"/>
    <w:rsid w:val="00297984"/>
    <w:rsid w:val="002B0F37"/>
    <w:rsid w:val="002B1A80"/>
    <w:rsid w:val="002C51DA"/>
    <w:rsid w:val="0035421E"/>
    <w:rsid w:val="0036393B"/>
    <w:rsid w:val="003A030E"/>
    <w:rsid w:val="003A66A6"/>
    <w:rsid w:val="003C1F13"/>
    <w:rsid w:val="003C3CB9"/>
    <w:rsid w:val="003C60AE"/>
    <w:rsid w:val="003D2DBF"/>
    <w:rsid w:val="003D3715"/>
    <w:rsid w:val="003E67C7"/>
    <w:rsid w:val="004122A3"/>
    <w:rsid w:val="00443DA2"/>
    <w:rsid w:val="00465F14"/>
    <w:rsid w:val="004773C1"/>
    <w:rsid w:val="00492A7A"/>
    <w:rsid w:val="00495531"/>
    <w:rsid w:val="004B22D5"/>
    <w:rsid w:val="004B7D73"/>
    <w:rsid w:val="004C0AF8"/>
    <w:rsid w:val="004D7D40"/>
    <w:rsid w:val="004E0DD7"/>
    <w:rsid w:val="004E4E8A"/>
    <w:rsid w:val="004E7965"/>
    <w:rsid w:val="004F5B99"/>
    <w:rsid w:val="004F5D52"/>
    <w:rsid w:val="005011ED"/>
    <w:rsid w:val="0053190A"/>
    <w:rsid w:val="00531BB4"/>
    <w:rsid w:val="00551373"/>
    <w:rsid w:val="00587C03"/>
    <w:rsid w:val="005A59D1"/>
    <w:rsid w:val="005B1182"/>
    <w:rsid w:val="005C0D55"/>
    <w:rsid w:val="005C3F78"/>
    <w:rsid w:val="0060036B"/>
    <w:rsid w:val="00604EAE"/>
    <w:rsid w:val="00613638"/>
    <w:rsid w:val="00624DD7"/>
    <w:rsid w:val="00636E92"/>
    <w:rsid w:val="00644D81"/>
    <w:rsid w:val="00663D74"/>
    <w:rsid w:val="00690745"/>
    <w:rsid w:val="006A6987"/>
    <w:rsid w:val="006B4E0B"/>
    <w:rsid w:val="006C3A26"/>
    <w:rsid w:val="006C7E77"/>
    <w:rsid w:val="00705626"/>
    <w:rsid w:val="00711107"/>
    <w:rsid w:val="00716C95"/>
    <w:rsid w:val="00741404"/>
    <w:rsid w:val="00764049"/>
    <w:rsid w:val="00777C21"/>
    <w:rsid w:val="007A74BF"/>
    <w:rsid w:val="007B409F"/>
    <w:rsid w:val="007F0B6D"/>
    <w:rsid w:val="00800C91"/>
    <w:rsid w:val="00804479"/>
    <w:rsid w:val="00810EB2"/>
    <w:rsid w:val="0083596E"/>
    <w:rsid w:val="00846B3B"/>
    <w:rsid w:val="008514EF"/>
    <w:rsid w:val="00853E08"/>
    <w:rsid w:val="00877DDA"/>
    <w:rsid w:val="008B594C"/>
    <w:rsid w:val="008D1419"/>
    <w:rsid w:val="008D6DB7"/>
    <w:rsid w:val="008F7318"/>
    <w:rsid w:val="00905A0F"/>
    <w:rsid w:val="009309D9"/>
    <w:rsid w:val="00935B74"/>
    <w:rsid w:val="00943BED"/>
    <w:rsid w:val="00972E14"/>
    <w:rsid w:val="00976537"/>
    <w:rsid w:val="00995551"/>
    <w:rsid w:val="009B7A26"/>
    <w:rsid w:val="009C6AF8"/>
    <w:rsid w:val="00A0271A"/>
    <w:rsid w:val="00A15CEA"/>
    <w:rsid w:val="00A16D92"/>
    <w:rsid w:val="00A310DC"/>
    <w:rsid w:val="00A313EF"/>
    <w:rsid w:val="00A37A25"/>
    <w:rsid w:val="00A56DAE"/>
    <w:rsid w:val="00A67134"/>
    <w:rsid w:val="00A770FF"/>
    <w:rsid w:val="00A8377F"/>
    <w:rsid w:val="00A9159C"/>
    <w:rsid w:val="00A964AA"/>
    <w:rsid w:val="00AB14A4"/>
    <w:rsid w:val="00AC385D"/>
    <w:rsid w:val="00AD1125"/>
    <w:rsid w:val="00AE73F2"/>
    <w:rsid w:val="00AF38B9"/>
    <w:rsid w:val="00B00E77"/>
    <w:rsid w:val="00B15030"/>
    <w:rsid w:val="00B52635"/>
    <w:rsid w:val="00B90641"/>
    <w:rsid w:val="00BC53C6"/>
    <w:rsid w:val="00C12BD3"/>
    <w:rsid w:val="00C16F34"/>
    <w:rsid w:val="00C33F56"/>
    <w:rsid w:val="00C57570"/>
    <w:rsid w:val="00C9708C"/>
    <w:rsid w:val="00CB2919"/>
    <w:rsid w:val="00CD1365"/>
    <w:rsid w:val="00CF6B23"/>
    <w:rsid w:val="00D03F04"/>
    <w:rsid w:val="00D05E83"/>
    <w:rsid w:val="00D126A1"/>
    <w:rsid w:val="00D32ABF"/>
    <w:rsid w:val="00D5457C"/>
    <w:rsid w:val="00D55EFD"/>
    <w:rsid w:val="00DF57EA"/>
    <w:rsid w:val="00E23724"/>
    <w:rsid w:val="00E312B7"/>
    <w:rsid w:val="00E31521"/>
    <w:rsid w:val="00E523DB"/>
    <w:rsid w:val="00E56DDB"/>
    <w:rsid w:val="00E806EC"/>
    <w:rsid w:val="00EA5A8C"/>
    <w:rsid w:val="00EE7C89"/>
    <w:rsid w:val="00EF7F6A"/>
    <w:rsid w:val="00F02067"/>
    <w:rsid w:val="00F16F0B"/>
    <w:rsid w:val="00F24787"/>
    <w:rsid w:val="00F3111A"/>
    <w:rsid w:val="00F35143"/>
    <w:rsid w:val="00F5284F"/>
    <w:rsid w:val="00F53CFF"/>
    <w:rsid w:val="00F57D39"/>
    <w:rsid w:val="00F761E7"/>
    <w:rsid w:val="00F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661C59"/>
  <w15:docId w15:val="{6B32E6EA-2B2D-468E-98CA-1821771E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it-IT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kern w:val="20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kern w:val="20"/>
    </w:rPr>
  </w:style>
  <w:style w:type="paragraph" w:styleId="Pidipagina">
    <w:name w:val="footer"/>
    <w:basedOn w:val="Normale"/>
    <w:link w:val="PidipaginaCarattere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kern w:val="20"/>
    </w:rPr>
  </w:style>
  <w:style w:type="paragraph" w:styleId="Nessunaspaziatura">
    <w:name w:val="No Spacing"/>
    <w:link w:val="NessunaspaziaturaCarattere"/>
    <w:uiPriority w:val="1"/>
    <w:qFormat/>
    <w:pPr>
      <w:spacing w:before="0" w:after="0"/>
    </w:pPr>
  </w:style>
  <w:style w:type="character" w:styleId="Enfasigrassetto">
    <w:name w:val="Strong"/>
    <w:basedOn w:val="Carpredefinitoparagrafo"/>
    <w:uiPriority w:val="1"/>
    <w:unhideWhenUsed/>
    <w:qFormat/>
    <w:rPr>
      <w:b/>
      <w:b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table" w:styleId="Grigliatabella">
    <w:name w:val="Table Grid"/>
    <w:basedOn w:val="Tabellanorma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Formuladichiusura">
    <w:name w:val="Closing"/>
    <w:basedOn w:val="Normale"/>
    <w:link w:val="FormuladichiusuraCarattere"/>
    <w:uiPriority w:val="99"/>
    <w:unhideWhenUsed/>
    <w:pPr>
      <w:spacing w:before="600" w:after="8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Pr>
      <w:kern w:val="20"/>
    </w:rPr>
  </w:style>
  <w:style w:type="table" w:customStyle="1" w:styleId="TabellaRapportostato">
    <w:name w:val="Tabella Rapporto stato"/>
    <w:basedOn w:val="Tabellanorma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aragrafoelenco">
    <w:name w:val="List Paragraph"/>
    <w:basedOn w:val="Normale"/>
    <w:uiPriority w:val="34"/>
    <w:qFormat/>
    <w:rsid w:val="000459D8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964AA"/>
    <w:rPr>
      <w:color w:val="646464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8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889"/>
    <w:rPr>
      <w:rFonts w:ascii="Segoe UI" w:hAnsi="Segoe UI" w:cs="Segoe UI"/>
      <w:kern w:val="20"/>
      <w:sz w:val="18"/>
      <w:szCs w:val="18"/>
    </w:rPr>
  </w:style>
  <w:style w:type="paragraph" w:customStyle="1" w:styleId="Default">
    <w:name w:val="Default"/>
    <w:rsid w:val="003D2DBF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37A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DefinizioneHTML">
    <w:name w:val="HTML Definition"/>
    <w:basedOn w:val="Carpredefinitoparagrafo"/>
    <w:uiPriority w:val="99"/>
    <w:semiHidden/>
    <w:unhideWhenUsed/>
    <w:rsid w:val="00A37A25"/>
    <w:rPr>
      <w:i/>
      <w:iCs/>
    </w:rPr>
  </w:style>
  <w:style w:type="character" w:customStyle="1" w:styleId="apple-converted-space">
    <w:name w:val="apple-converted-space"/>
    <w:basedOn w:val="Carpredefinitoparagrafo"/>
    <w:rsid w:val="00A3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genziafarmaco.gov.it/it/content/registri-farmaci-sottoposti-monitoraggi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enziafarmaco.gov.it/it/content/registri-farmaci-sottoposti-monitoraggi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genziafarmaco.gov.it/registr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_sagratella\AppData\Roaming\Microsoft\Templates\Relazione%20di%20stato%20del%20progetto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75B03-4EA4-45EB-8633-9F2BC9DE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di stato del progetto.dotx</Template>
  <TotalTime>40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Sagratella</dc:creator>
  <cp:lastModifiedBy>Antea Maria Pia Mangano</cp:lastModifiedBy>
  <cp:revision>9</cp:revision>
  <cp:lastPrinted>2017-03-09T11:08:00Z</cp:lastPrinted>
  <dcterms:created xsi:type="dcterms:W3CDTF">2018-07-18T16:35:00Z</dcterms:created>
  <dcterms:modified xsi:type="dcterms:W3CDTF">2019-06-28T09:53:00Z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