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4122B3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GAZYVARO</w:t>
      </w:r>
      <w:r w:rsidR="00F5284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(</w:t>
      </w:r>
      <w:r>
        <w:rPr>
          <w:rFonts w:ascii="Bookman Old Style" w:hAnsi="Bookman Old Style"/>
          <w:b/>
          <w:color w:val="FF0000"/>
          <w:sz w:val="32"/>
          <w:szCs w:val="32"/>
        </w:rPr>
        <w:t>OBINUTUZUMAB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4122B3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GAZYVARO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4122B3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OBINUTUZUMAB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DC465A">
        <w:rPr>
          <w:rFonts w:ascii="Bookman Old Style" w:hAnsi="Bookman Old Style"/>
          <w:color w:val="auto"/>
          <w:sz w:val="24"/>
          <w:szCs w:val="24"/>
        </w:rPr>
        <w:t>309</w:t>
      </w:r>
      <w:r w:rsidR="004122B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DC465A">
        <w:rPr>
          <w:rFonts w:ascii="Bookman Old Style" w:hAnsi="Bookman Old Style"/>
          <w:color w:val="auto"/>
          <w:sz w:val="24"/>
          <w:szCs w:val="24"/>
        </w:rPr>
        <w:t>19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DC465A">
        <w:rPr>
          <w:rFonts w:ascii="Bookman Old Style" w:hAnsi="Bookman Old Style"/>
          <w:color w:val="auto"/>
          <w:sz w:val="24"/>
          <w:szCs w:val="24"/>
        </w:rPr>
        <w:t>febbraio 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DC465A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 xml:space="preserve">Regime di rimborsabilità e prezzo a seguito di nuove indicazioni terapeutiche del </w:t>
      </w:r>
      <w:r w:rsidR="004122B3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medicinale per uso umano “</w:t>
      </w:r>
      <w:proofErr w:type="spellStart"/>
      <w:r w:rsidR="004122B3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Gazyvaro</w:t>
      </w:r>
      <w:proofErr w:type="spellEnd"/>
      <w:r w:rsidR="004122B3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”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DC465A">
        <w:rPr>
          <w:rFonts w:ascii="Bookman Old Style" w:hAnsi="Bookman Old Style"/>
          <w:color w:val="auto"/>
          <w:sz w:val="24"/>
          <w:szCs w:val="24"/>
        </w:rPr>
        <w:t>20/02/2019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AE329A" w:rsidRPr="00613638" w:rsidRDefault="00AE329A" w:rsidP="00AE329A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613638">
        <w:rPr>
          <w:rFonts w:ascii="Bookman Old Style" w:hAnsi="Bookman Old Style"/>
          <w:b/>
          <w:sz w:val="24"/>
          <w:szCs w:val="24"/>
        </w:rPr>
        <w:t>INDICAZIONI GIA’ RIMBORSATE</w:t>
      </w:r>
    </w:p>
    <w:p w:rsidR="00AE329A" w:rsidRDefault="00AE329A" w:rsidP="00AE329A">
      <w:pPr>
        <w:pStyle w:val="Normale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proofErr w:type="spellStart"/>
      <w:r w:rsidRPr="00AE329A">
        <w:rPr>
          <w:rFonts w:ascii="Bookman Old Style" w:hAnsi="Bookman Old Style"/>
          <w:lang w:eastAsia="en-US"/>
        </w:rPr>
        <w:t>Gazyvaro</w:t>
      </w:r>
      <w:proofErr w:type="spellEnd"/>
      <w:r w:rsidRPr="00AE329A">
        <w:rPr>
          <w:rFonts w:ascii="Bookman Old Style" w:hAnsi="Bookman Old Style"/>
          <w:lang w:eastAsia="en-US"/>
        </w:rPr>
        <w:t xml:space="preserve"> in associazione a </w:t>
      </w:r>
      <w:proofErr w:type="spellStart"/>
      <w:r w:rsidRPr="00AE329A">
        <w:rPr>
          <w:rFonts w:ascii="Bookman Old Style" w:hAnsi="Bookman Old Style"/>
          <w:lang w:eastAsia="en-US"/>
        </w:rPr>
        <w:t>clorambucile</w:t>
      </w:r>
      <w:proofErr w:type="spellEnd"/>
      <w:r w:rsidRPr="00AE329A">
        <w:rPr>
          <w:rFonts w:ascii="Bookman Old Style" w:hAnsi="Bookman Old Style"/>
          <w:lang w:eastAsia="en-US"/>
        </w:rPr>
        <w:t xml:space="preserve"> è indicato nel trattamento di pazienti adulti affetti da leucemia linfatica cronica (LLC) non pretrattata e con </w:t>
      </w:r>
      <w:proofErr w:type="spellStart"/>
      <w:r w:rsidRPr="00AE329A">
        <w:rPr>
          <w:rFonts w:ascii="Bookman Old Style" w:hAnsi="Bookman Old Style"/>
          <w:lang w:eastAsia="en-US"/>
        </w:rPr>
        <w:t>comorbilità</w:t>
      </w:r>
      <w:proofErr w:type="spellEnd"/>
      <w:r w:rsidRPr="00AE329A">
        <w:rPr>
          <w:rFonts w:ascii="Bookman Old Style" w:hAnsi="Bookman Old Style"/>
          <w:lang w:eastAsia="en-US"/>
        </w:rPr>
        <w:t xml:space="preserve"> che li rendono non idonei a una terapia a ba</w:t>
      </w:r>
      <w:r>
        <w:rPr>
          <w:rFonts w:ascii="Bookman Old Style" w:hAnsi="Bookman Old Style"/>
          <w:lang w:eastAsia="en-US"/>
        </w:rPr>
        <w:t xml:space="preserve">se di </w:t>
      </w:r>
      <w:proofErr w:type="spellStart"/>
      <w:r>
        <w:rPr>
          <w:rFonts w:ascii="Bookman Old Style" w:hAnsi="Bookman Old Style"/>
          <w:lang w:eastAsia="en-US"/>
        </w:rPr>
        <w:t>fludarabina</w:t>
      </w:r>
      <w:proofErr w:type="spellEnd"/>
      <w:r>
        <w:rPr>
          <w:rFonts w:ascii="Bookman Old Style" w:hAnsi="Bookman Old Style"/>
          <w:lang w:eastAsia="en-US"/>
        </w:rPr>
        <w:t xml:space="preserve"> a dose piena; </w:t>
      </w:r>
    </w:p>
    <w:p w:rsidR="00AE329A" w:rsidRDefault="00AE329A" w:rsidP="00AE329A">
      <w:pPr>
        <w:pStyle w:val="Normale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proofErr w:type="spellStart"/>
      <w:r w:rsidRPr="00AE329A">
        <w:rPr>
          <w:rFonts w:ascii="Bookman Old Style" w:hAnsi="Bookman Old Style"/>
        </w:rPr>
        <w:t>Gazyvaro</w:t>
      </w:r>
      <w:proofErr w:type="spellEnd"/>
      <w:r w:rsidRPr="00AE329A">
        <w:rPr>
          <w:rFonts w:ascii="Bookman Old Style" w:hAnsi="Bookman Old Style"/>
        </w:rPr>
        <w:t xml:space="preserve"> in associazione a </w:t>
      </w:r>
      <w:proofErr w:type="spellStart"/>
      <w:r w:rsidRPr="00AE329A">
        <w:rPr>
          <w:rFonts w:ascii="Bookman Old Style" w:hAnsi="Bookman Old Style"/>
        </w:rPr>
        <w:t>bendamustina</w:t>
      </w:r>
      <w:proofErr w:type="spellEnd"/>
      <w:r w:rsidRPr="00AE329A">
        <w:rPr>
          <w:rFonts w:ascii="Bookman Old Style" w:hAnsi="Bookman Old Style"/>
        </w:rPr>
        <w:t xml:space="preserve">, seguito da </w:t>
      </w:r>
      <w:proofErr w:type="spellStart"/>
      <w:r w:rsidRPr="00AE329A">
        <w:rPr>
          <w:rFonts w:ascii="Bookman Old Style" w:hAnsi="Bookman Old Style"/>
        </w:rPr>
        <w:t>Gazyvaro</w:t>
      </w:r>
      <w:proofErr w:type="spellEnd"/>
      <w:r w:rsidRPr="00AE329A">
        <w:rPr>
          <w:rFonts w:ascii="Bookman Old Style" w:hAnsi="Bookman Old Style"/>
        </w:rPr>
        <w:t xml:space="preserve"> in mantenimento è indicato nel trattamento di pazienti con linfoma follicolare (LF) che non rispondono o che hanno avuto progressione di malattia durante o fino a 6 mesi dopo il trattamento con </w:t>
      </w:r>
      <w:proofErr w:type="spellStart"/>
      <w:r w:rsidRPr="00AE329A">
        <w:rPr>
          <w:rFonts w:ascii="Bookman Old Style" w:hAnsi="Bookman Old Style"/>
        </w:rPr>
        <w:t>rituximab</w:t>
      </w:r>
      <w:proofErr w:type="spellEnd"/>
      <w:r w:rsidRPr="00AE329A">
        <w:rPr>
          <w:rFonts w:ascii="Bookman Old Style" w:hAnsi="Bookman Old Style"/>
        </w:rPr>
        <w:t xml:space="preserve"> o un regime contenente </w:t>
      </w:r>
      <w:proofErr w:type="spellStart"/>
      <w:r w:rsidRPr="00AE329A">
        <w:rPr>
          <w:rFonts w:ascii="Bookman Old Style" w:hAnsi="Bookman Old Style"/>
        </w:rPr>
        <w:t>rituximab</w:t>
      </w:r>
      <w:proofErr w:type="spellEnd"/>
      <w:r w:rsidRPr="00AE329A">
        <w:rPr>
          <w:rFonts w:ascii="Bookman Old Style" w:hAnsi="Bookman Old Style"/>
        </w:rPr>
        <w:t>.</w:t>
      </w:r>
    </w:p>
    <w:p w:rsidR="00AE329A" w:rsidRPr="00777C21" w:rsidRDefault="00AE329A" w:rsidP="00AE329A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NUOVE INDICAZIONi TERAPEUTICHE</w:t>
      </w:r>
    </w:p>
    <w:p w:rsidR="003D3715" w:rsidRDefault="00AE329A" w:rsidP="00AE329A">
      <w:pPr>
        <w:pStyle w:val="NormaleWeb"/>
        <w:spacing w:before="0" w:after="0" w:line="276" w:lineRule="auto"/>
        <w:jc w:val="both"/>
        <w:rPr>
          <w:rFonts w:ascii="Bookman Old Style" w:hAnsi="Bookman Old Style"/>
        </w:rPr>
      </w:pPr>
      <w:proofErr w:type="spellStart"/>
      <w:r w:rsidRPr="00AE329A">
        <w:rPr>
          <w:rFonts w:ascii="Bookman Old Style" w:hAnsi="Bookman Old Style"/>
        </w:rPr>
        <w:t>Gazyvaro</w:t>
      </w:r>
      <w:proofErr w:type="spellEnd"/>
      <w:r w:rsidRPr="00AE329A">
        <w:rPr>
          <w:rFonts w:ascii="Bookman Old Style" w:hAnsi="Bookman Old Style"/>
        </w:rPr>
        <w:t xml:space="preserve"> in associazione a chemioterapia, seguito da </w:t>
      </w:r>
      <w:proofErr w:type="spellStart"/>
      <w:r w:rsidRPr="00AE329A">
        <w:rPr>
          <w:rFonts w:ascii="Bookman Old Style" w:hAnsi="Bookman Old Style"/>
        </w:rPr>
        <w:t>Gazyvaro</w:t>
      </w:r>
      <w:proofErr w:type="spellEnd"/>
      <w:r w:rsidRPr="00AE329A">
        <w:rPr>
          <w:rFonts w:ascii="Bookman Old Style" w:hAnsi="Bookman Old Style"/>
        </w:rPr>
        <w:t xml:space="preserve"> come terapia di mantenimento nei soggetti che ottengono una risposta, è indicato per</w:t>
      </w:r>
      <w:r>
        <w:rPr>
          <w:rFonts w:ascii="Bookman Old Style" w:hAnsi="Bookman Old Style"/>
        </w:rPr>
        <w:t xml:space="preserve"> </w:t>
      </w:r>
      <w:r w:rsidRPr="00AE329A">
        <w:rPr>
          <w:rFonts w:ascii="Bookman Old Style" w:hAnsi="Bookman Old Style"/>
        </w:rPr>
        <w:t>il trattamento di pazienti con linfoma follicolare avanzato non pretrattato (prima linea).</w:t>
      </w:r>
      <w:r>
        <w:rPr>
          <w:rFonts w:ascii="Bookman Old Style" w:hAnsi="Bookman Old Style"/>
        </w:rPr>
        <w:t xml:space="preserve"> 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AE329A">
        <w:rPr>
          <w:rFonts w:ascii="Bookman Old Style" w:hAnsi="Bookman Old Style"/>
          <w:color w:val="auto"/>
          <w:sz w:val="24"/>
          <w:szCs w:val="24"/>
        </w:rPr>
        <w:t>65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AE329A">
        <w:rPr>
          <w:rFonts w:ascii="Bookman Old Style" w:hAnsi="Bookman Old Style"/>
          <w:color w:val="auto"/>
          <w:sz w:val="24"/>
          <w:szCs w:val="24"/>
        </w:rPr>
        <w:t>18/03/2019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AE329A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C9708C" w:rsidRDefault="00AE329A" w:rsidP="00AE329A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AE329A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AE329A">
        <w:rPr>
          <w:rFonts w:ascii="Bookman Old Style" w:hAnsi="Bookman Old Style" w:cs="TimesNewRomanPSMT"/>
          <w:sz w:val="24"/>
          <w:szCs w:val="24"/>
        </w:rPr>
        <w:t xml:space="preserve"> da praticarsi alle strutture pubbliche del SSN, ivi comprese le strutture private accreditate sanitarie, come da condizioni</w:t>
      </w:r>
      <w:r>
        <w:rPr>
          <w:rFonts w:ascii="Bookman Old Style" w:hAnsi="Bookman Old Style" w:cs="TimesNewRomanPSMT"/>
          <w:sz w:val="24"/>
          <w:szCs w:val="24"/>
        </w:rPr>
        <w:t xml:space="preserve"> negoziali</w:t>
      </w:r>
      <w:r w:rsidR="00C9708C" w:rsidRPr="00AE329A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AE329A" w:rsidRPr="00AE329A" w:rsidRDefault="00AE329A" w:rsidP="00AE329A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>Le presenti condizioni negoziali devono intendersi novative di quelle recepite con determina AIFA n. 1484 del 10 agosto 2017, pubblicata nella Gazzetta Ufficiale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AE329A">
        <w:rPr>
          <w:rFonts w:ascii="Bookman Old Style" w:hAnsi="Bookman Old Style" w:cs="TimesNewRomanPSMT"/>
          <w:sz w:val="24"/>
          <w:szCs w:val="24"/>
        </w:rPr>
        <w:t>n. 203 del 31 agosto 2017, che, pertanto, si estinguono.</w:t>
      </w:r>
    </w:p>
    <w:p w:rsidR="00F5284F" w:rsidRPr="007A74BF" w:rsidRDefault="00F5284F" w:rsidP="00AE329A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F5284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utilizzabile esclusivamente in ambiente ospedaliero o </w:t>
      </w:r>
      <w:r w:rsidR="004122B3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in struttura </w:t>
      </w:r>
      <w:r w:rsidR="00F5284F">
        <w:rPr>
          <w:rFonts w:ascii="Bookman Old Style" w:hAnsi="Bookman Old Style" w:cs="TimesNewRomanPSMT"/>
          <w:color w:val="auto"/>
          <w:kern w:val="0"/>
          <w:sz w:val="24"/>
          <w:szCs w:val="24"/>
        </w:rPr>
        <w:t>ad esso assimilabile (OSP).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636E92" w:rsidRDefault="00456AC4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Premesso ciò i Centri autorizzati alla prescrizione del medicinale </w:t>
      </w:r>
      <w:proofErr w:type="spellStart"/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Gazyvaro</w:t>
      </w:r>
      <w:proofErr w:type="spellEnd"/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sono quelli riportati in tabella:</w:t>
      </w:r>
    </w:p>
    <w:p w:rsidR="00F2414E" w:rsidRDefault="00F2414E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74"/>
        <w:gridCol w:w="3357"/>
      </w:tblGrid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1" w:rsidRDefault="00CF1EB1" w:rsidP="002054AD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ENTE</w:t>
            </w:r>
          </w:p>
          <w:p w:rsidR="00CF1EB1" w:rsidRDefault="00CF1EB1" w:rsidP="002054AD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Camerino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CF1EB1" w:rsidTr="002054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1" w:rsidRDefault="00CF1EB1" w:rsidP="002054AD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</w:tbl>
    <w:p w:rsidR="00456AC4" w:rsidRDefault="00456AC4" w:rsidP="00456AC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</w:p>
    <w:p w:rsidR="00456AC4" w:rsidRPr="007A74BF" w:rsidRDefault="00456AC4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sectPr w:rsidR="00456AC4" w:rsidRPr="007A74BF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94" w:rsidRDefault="008C4494">
      <w:pPr>
        <w:spacing w:before="0" w:after="0"/>
      </w:pPr>
      <w:r>
        <w:separator/>
      </w:r>
    </w:p>
  </w:endnote>
  <w:endnote w:type="continuationSeparator" w:id="0">
    <w:p w:rsidR="008C4494" w:rsidRDefault="008C4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84C4F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94" w:rsidRDefault="008C4494">
      <w:pPr>
        <w:spacing w:before="0" w:after="0"/>
      </w:pPr>
      <w:r>
        <w:separator/>
      </w:r>
    </w:p>
  </w:footnote>
  <w:footnote w:type="continuationSeparator" w:id="0">
    <w:p w:rsidR="008C4494" w:rsidRDefault="008C4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12557"/>
    <w:rsid w:val="00027448"/>
    <w:rsid w:val="000459D8"/>
    <w:rsid w:val="0007623B"/>
    <w:rsid w:val="00086889"/>
    <w:rsid w:val="000E5124"/>
    <w:rsid w:val="001161EA"/>
    <w:rsid w:val="00157130"/>
    <w:rsid w:val="00185A65"/>
    <w:rsid w:val="001D7DBA"/>
    <w:rsid w:val="001F61C0"/>
    <w:rsid w:val="00221B79"/>
    <w:rsid w:val="00225C2E"/>
    <w:rsid w:val="0026366D"/>
    <w:rsid w:val="00297984"/>
    <w:rsid w:val="002B0F37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122B3"/>
    <w:rsid w:val="00443DA2"/>
    <w:rsid w:val="00456AC4"/>
    <w:rsid w:val="00465F14"/>
    <w:rsid w:val="004773C1"/>
    <w:rsid w:val="00492A7A"/>
    <w:rsid w:val="00495531"/>
    <w:rsid w:val="004B22D5"/>
    <w:rsid w:val="004B7D73"/>
    <w:rsid w:val="004C0AF8"/>
    <w:rsid w:val="004D7D40"/>
    <w:rsid w:val="004E4E8A"/>
    <w:rsid w:val="004E7965"/>
    <w:rsid w:val="004F5B99"/>
    <w:rsid w:val="004F5D52"/>
    <w:rsid w:val="005011ED"/>
    <w:rsid w:val="00531BB4"/>
    <w:rsid w:val="00551373"/>
    <w:rsid w:val="005563A1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08C9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84C4F"/>
    <w:rsid w:val="008B594C"/>
    <w:rsid w:val="008C4494"/>
    <w:rsid w:val="008D1419"/>
    <w:rsid w:val="008F7318"/>
    <w:rsid w:val="00905A0F"/>
    <w:rsid w:val="009309D9"/>
    <w:rsid w:val="00995551"/>
    <w:rsid w:val="009B7A26"/>
    <w:rsid w:val="009C6AF8"/>
    <w:rsid w:val="00A0271A"/>
    <w:rsid w:val="00A15CEA"/>
    <w:rsid w:val="00A16D92"/>
    <w:rsid w:val="00A310DC"/>
    <w:rsid w:val="00A313EF"/>
    <w:rsid w:val="00A37A25"/>
    <w:rsid w:val="00A55E5A"/>
    <w:rsid w:val="00A56DAE"/>
    <w:rsid w:val="00A67134"/>
    <w:rsid w:val="00A9159C"/>
    <w:rsid w:val="00A964AA"/>
    <w:rsid w:val="00AB14A4"/>
    <w:rsid w:val="00AC385D"/>
    <w:rsid w:val="00AE329A"/>
    <w:rsid w:val="00AE73F2"/>
    <w:rsid w:val="00AF38B9"/>
    <w:rsid w:val="00B00E77"/>
    <w:rsid w:val="00B52635"/>
    <w:rsid w:val="00B90641"/>
    <w:rsid w:val="00BC53C6"/>
    <w:rsid w:val="00C12BD3"/>
    <w:rsid w:val="00C16F34"/>
    <w:rsid w:val="00C33F56"/>
    <w:rsid w:val="00C57570"/>
    <w:rsid w:val="00C9708C"/>
    <w:rsid w:val="00CB2919"/>
    <w:rsid w:val="00CD1365"/>
    <w:rsid w:val="00CF1EB1"/>
    <w:rsid w:val="00CF6B23"/>
    <w:rsid w:val="00D05E83"/>
    <w:rsid w:val="00D126A1"/>
    <w:rsid w:val="00D32ABF"/>
    <w:rsid w:val="00D4402C"/>
    <w:rsid w:val="00D5457C"/>
    <w:rsid w:val="00D55EFD"/>
    <w:rsid w:val="00DA1236"/>
    <w:rsid w:val="00DC465A"/>
    <w:rsid w:val="00E30586"/>
    <w:rsid w:val="00E31521"/>
    <w:rsid w:val="00E523DB"/>
    <w:rsid w:val="00E56DDB"/>
    <w:rsid w:val="00E806EC"/>
    <w:rsid w:val="00E90241"/>
    <w:rsid w:val="00EA5A8C"/>
    <w:rsid w:val="00EF7F6A"/>
    <w:rsid w:val="00F02067"/>
    <w:rsid w:val="00F16F0B"/>
    <w:rsid w:val="00F2414E"/>
    <w:rsid w:val="00F24787"/>
    <w:rsid w:val="00F35143"/>
    <w:rsid w:val="00F5284F"/>
    <w:rsid w:val="00F57D39"/>
    <w:rsid w:val="00F761E7"/>
    <w:rsid w:val="00F841BD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12834EC-A662-4A14-A466-6301282D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70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9</cp:revision>
  <cp:lastPrinted>2017-05-08T10:25:00Z</cp:lastPrinted>
  <dcterms:created xsi:type="dcterms:W3CDTF">2019-03-20T17:37:00Z</dcterms:created>
  <dcterms:modified xsi:type="dcterms:W3CDTF">2019-03-21T10:05:00Z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