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6E9" w:rsidRPr="004F480C" w:rsidRDefault="00C84D8D" w:rsidP="00C36684">
      <w:pPr>
        <w:pStyle w:val="NormaleWeb"/>
        <w:jc w:val="center"/>
        <w:rPr>
          <w:rFonts w:ascii="Garamond" w:hAnsi="Garamond" w:cs="Garamond"/>
          <w:b/>
          <w:sz w:val="32"/>
          <w:szCs w:val="32"/>
        </w:rPr>
      </w:pPr>
      <w:bookmarkStart w:id="0" w:name="_GoBack"/>
      <w:bookmarkEnd w:id="0"/>
      <w:r w:rsidRPr="004F480C">
        <w:rPr>
          <w:rFonts w:ascii="Garamond" w:hAnsi="Garamond" w:cs="Garamond"/>
          <w:b/>
          <w:sz w:val="32"/>
          <w:szCs w:val="32"/>
        </w:rPr>
        <w:t xml:space="preserve">SERVIZI </w:t>
      </w:r>
      <w:r w:rsidR="00A666E9" w:rsidRPr="004F480C">
        <w:rPr>
          <w:rFonts w:ascii="Garamond" w:hAnsi="Garamond" w:cs="Garamond"/>
          <w:b/>
          <w:sz w:val="32"/>
          <w:szCs w:val="32"/>
        </w:rPr>
        <w:t>ATTINENTI ALL’ARCHITETTURA E ALL’INGEGNERIA</w:t>
      </w:r>
    </w:p>
    <w:p w:rsidR="00A666E9" w:rsidRPr="00C36684" w:rsidRDefault="00235CB0" w:rsidP="007523AF">
      <w:pPr>
        <w:pStyle w:val="NormaleWeb"/>
        <w:jc w:val="both"/>
        <w:rPr>
          <w:rFonts w:ascii="Garamond" w:hAnsi="Garamond" w:cs="Garamond"/>
          <w:b/>
        </w:rPr>
      </w:pPr>
      <w:r>
        <w:rPr>
          <w:rFonts w:ascii="Garamond" w:hAnsi="Garamond" w:cs="Garamond"/>
          <w:b/>
        </w:rPr>
        <w:t>OBIETTIVO</w:t>
      </w:r>
    </w:p>
    <w:p w:rsidR="00A30E75" w:rsidRDefault="000439B5" w:rsidP="007523AF">
      <w:pPr>
        <w:pStyle w:val="NormaleWeb"/>
        <w:jc w:val="both"/>
        <w:rPr>
          <w:rFonts w:ascii="Garamond" w:hAnsi="Garamond" w:cs="Garamond"/>
        </w:rPr>
      </w:pPr>
      <w:r>
        <w:rPr>
          <w:rFonts w:ascii="Garamond" w:hAnsi="Garamond" w:cs="Garamond"/>
        </w:rPr>
        <w:t>Lo scopo del presente lavoro è quello</w:t>
      </w:r>
      <w:r w:rsidR="0069396D">
        <w:rPr>
          <w:rFonts w:ascii="Garamond" w:hAnsi="Garamond" w:cs="Garamond"/>
        </w:rPr>
        <w:t xml:space="preserve"> </w:t>
      </w:r>
      <w:r w:rsidR="00B41CC4">
        <w:rPr>
          <w:rFonts w:ascii="Garamond" w:hAnsi="Garamond" w:cs="Garamond"/>
        </w:rPr>
        <w:t xml:space="preserve">di fornire </w:t>
      </w:r>
      <w:r w:rsidR="0069396D">
        <w:rPr>
          <w:rFonts w:ascii="Garamond" w:hAnsi="Garamond" w:cs="Garamond"/>
        </w:rPr>
        <w:t xml:space="preserve">uno </w:t>
      </w:r>
      <w:r w:rsidR="00B41CC4">
        <w:rPr>
          <w:rFonts w:ascii="Garamond" w:hAnsi="Garamond" w:cs="Garamond"/>
        </w:rPr>
        <w:t>strument</w:t>
      </w:r>
      <w:r w:rsidR="000D3A44">
        <w:rPr>
          <w:rFonts w:ascii="Garamond" w:hAnsi="Garamond" w:cs="Garamond"/>
        </w:rPr>
        <w:t>o</w:t>
      </w:r>
      <w:r w:rsidR="00B41CC4">
        <w:rPr>
          <w:rFonts w:ascii="Garamond" w:hAnsi="Garamond" w:cs="Garamond"/>
        </w:rPr>
        <w:t xml:space="preserve"> di supporto</w:t>
      </w:r>
      <w:r w:rsidR="00235CB0">
        <w:rPr>
          <w:rFonts w:ascii="Garamond" w:hAnsi="Garamond" w:cs="Garamond"/>
        </w:rPr>
        <w:t xml:space="preserve"> </w:t>
      </w:r>
      <w:r w:rsidR="00B41CC4">
        <w:rPr>
          <w:rFonts w:ascii="Garamond" w:hAnsi="Garamond" w:cs="Garamond"/>
        </w:rPr>
        <w:t xml:space="preserve">all’attività </w:t>
      </w:r>
      <w:r>
        <w:rPr>
          <w:rFonts w:ascii="Garamond" w:hAnsi="Garamond" w:cs="Garamond"/>
        </w:rPr>
        <w:t xml:space="preserve">di affidamento di incarichi </w:t>
      </w:r>
      <w:r w:rsidR="00A30E75">
        <w:rPr>
          <w:rFonts w:ascii="Garamond" w:hAnsi="Garamond" w:cs="Garamond"/>
        </w:rPr>
        <w:t xml:space="preserve">tecnici </w:t>
      </w:r>
      <w:r>
        <w:rPr>
          <w:rFonts w:ascii="Garamond" w:hAnsi="Garamond" w:cs="Garamond"/>
        </w:rPr>
        <w:t xml:space="preserve">da parte </w:t>
      </w:r>
      <w:r w:rsidR="00B41CC4">
        <w:rPr>
          <w:rFonts w:ascii="Garamond" w:hAnsi="Garamond" w:cs="Garamond"/>
        </w:rPr>
        <w:t xml:space="preserve">delle </w:t>
      </w:r>
      <w:r>
        <w:rPr>
          <w:rFonts w:ascii="Garamond" w:hAnsi="Garamond" w:cs="Garamond"/>
        </w:rPr>
        <w:t>s</w:t>
      </w:r>
      <w:r w:rsidR="00B41CC4">
        <w:rPr>
          <w:rFonts w:ascii="Garamond" w:hAnsi="Garamond" w:cs="Garamond"/>
        </w:rPr>
        <w:t xml:space="preserve">tazioni </w:t>
      </w:r>
      <w:r>
        <w:rPr>
          <w:rFonts w:ascii="Garamond" w:hAnsi="Garamond" w:cs="Garamond"/>
        </w:rPr>
        <w:t>a</w:t>
      </w:r>
      <w:r w:rsidR="00B41CC4">
        <w:rPr>
          <w:rFonts w:ascii="Garamond" w:hAnsi="Garamond" w:cs="Garamond"/>
        </w:rPr>
        <w:t xml:space="preserve">ppaltanti </w:t>
      </w:r>
      <w:r>
        <w:rPr>
          <w:rFonts w:ascii="Garamond" w:hAnsi="Garamond" w:cs="Garamond"/>
        </w:rPr>
        <w:t>regionali</w:t>
      </w:r>
      <w:r w:rsidR="00235CB0">
        <w:rPr>
          <w:rFonts w:ascii="Garamond" w:hAnsi="Garamond" w:cs="Garamond"/>
        </w:rPr>
        <w:t xml:space="preserve">, </w:t>
      </w:r>
      <w:r w:rsidR="000D3A44">
        <w:rPr>
          <w:rFonts w:ascii="Garamond" w:hAnsi="Garamond" w:cs="Garamond"/>
        </w:rPr>
        <w:t xml:space="preserve">afferenti </w:t>
      </w:r>
      <w:r w:rsidR="00A30E75">
        <w:rPr>
          <w:rFonts w:ascii="Garamond" w:hAnsi="Garamond" w:cs="Garamond"/>
        </w:rPr>
        <w:t>in particolare a</w:t>
      </w:r>
      <w:r w:rsidR="000D3A44">
        <w:rPr>
          <w:rFonts w:ascii="Garamond" w:hAnsi="Garamond" w:cs="Garamond"/>
        </w:rPr>
        <w:t>i lavori e attività connesse</w:t>
      </w:r>
      <w:r w:rsidR="00A30E75">
        <w:rPr>
          <w:rFonts w:ascii="Garamond" w:hAnsi="Garamond" w:cs="Garamond"/>
        </w:rPr>
        <w:t xml:space="preserve"> a</w:t>
      </w:r>
      <w:r w:rsidR="00235CB0">
        <w:rPr>
          <w:rFonts w:ascii="Garamond" w:hAnsi="Garamond" w:cs="Garamond"/>
        </w:rPr>
        <w:t>lla ricostruzione post-sisma</w:t>
      </w:r>
      <w:r>
        <w:rPr>
          <w:rFonts w:ascii="Garamond" w:hAnsi="Garamond" w:cs="Garamond"/>
        </w:rPr>
        <w:t xml:space="preserve">. </w:t>
      </w:r>
    </w:p>
    <w:p w:rsidR="00A666E9" w:rsidRDefault="000439B5" w:rsidP="007523AF">
      <w:pPr>
        <w:pStyle w:val="NormaleWeb"/>
        <w:jc w:val="both"/>
        <w:rPr>
          <w:rFonts w:ascii="Garamond" w:hAnsi="Garamond" w:cs="Garamond"/>
        </w:rPr>
      </w:pPr>
      <w:r>
        <w:rPr>
          <w:rFonts w:ascii="Garamond" w:hAnsi="Garamond" w:cs="Garamond"/>
        </w:rPr>
        <w:t>S</w:t>
      </w:r>
      <w:r w:rsidR="00B41CC4">
        <w:rPr>
          <w:rFonts w:ascii="Garamond" w:hAnsi="Garamond" w:cs="Garamond"/>
        </w:rPr>
        <w:t xml:space="preserve">i è </w:t>
      </w:r>
      <w:r w:rsidR="000D3A44">
        <w:rPr>
          <w:rFonts w:ascii="Garamond" w:hAnsi="Garamond" w:cs="Garamond"/>
        </w:rPr>
        <w:t xml:space="preserve">quindi </w:t>
      </w:r>
      <w:r w:rsidR="00B41CC4">
        <w:rPr>
          <w:rFonts w:ascii="Garamond" w:hAnsi="Garamond" w:cs="Garamond"/>
        </w:rPr>
        <w:t>proceduto all’elaborazione d</w:t>
      </w:r>
      <w:r w:rsidR="00235CB0">
        <w:rPr>
          <w:rFonts w:ascii="Garamond" w:hAnsi="Garamond" w:cs="Garamond"/>
        </w:rPr>
        <w:t>e</w:t>
      </w:r>
      <w:r w:rsidR="00B41CC4">
        <w:rPr>
          <w:rFonts w:ascii="Garamond" w:hAnsi="Garamond" w:cs="Garamond"/>
        </w:rPr>
        <w:t xml:space="preserve">i </w:t>
      </w:r>
      <w:r w:rsidR="00235CB0">
        <w:rPr>
          <w:rFonts w:ascii="Garamond" w:hAnsi="Garamond" w:cs="Garamond"/>
        </w:rPr>
        <w:t xml:space="preserve">seguenti </w:t>
      </w:r>
      <w:r w:rsidR="00B41CC4">
        <w:rPr>
          <w:rFonts w:ascii="Garamond" w:hAnsi="Garamond" w:cs="Garamond"/>
        </w:rPr>
        <w:t>schemi</w:t>
      </w:r>
      <w:r w:rsidR="00A30E75">
        <w:rPr>
          <w:rFonts w:ascii="Garamond" w:hAnsi="Garamond" w:cs="Garamond"/>
        </w:rPr>
        <w:t>, scelti nell’</w:t>
      </w:r>
      <w:r w:rsidR="00235CB0">
        <w:rPr>
          <w:rFonts w:ascii="Garamond" w:hAnsi="Garamond" w:cs="Garamond"/>
        </w:rPr>
        <w:t>ottica d</w:t>
      </w:r>
      <w:r w:rsidR="00A30E75">
        <w:rPr>
          <w:rFonts w:ascii="Garamond" w:hAnsi="Garamond" w:cs="Garamond"/>
        </w:rPr>
        <w:t>ella</w:t>
      </w:r>
      <w:r w:rsidR="00235CB0">
        <w:rPr>
          <w:rFonts w:ascii="Garamond" w:hAnsi="Garamond" w:cs="Garamond"/>
        </w:rPr>
        <w:t xml:space="preserve"> maggiore utilità per i fruitori</w:t>
      </w:r>
      <w:r w:rsidR="00B41CC4">
        <w:rPr>
          <w:rFonts w:ascii="Garamond" w:hAnsi="Garamond" w:cs="Garamond"/>
        </w:rPr>
        <w:t>:</w:t>
      </w:r>
    </w:p>
    <w:p w:rsidR="00B41CC4" w:rsidRDefault="00B41CC4" w:rsidP="007523AF">
      <w:pPr>
        <w:pStyle w:val="NormaleWeb"/>
        <w:jc w:val="both"/>
        <w:rPr>
          <w:rFonts w:ascii="Garamond" w:hAnsi="Garamond" w:cs="Garamond"/>
        </w:rPr>
      </w:pPr>
      <w:r>
        <w:rPr>
          <w:rFonts w:ascii="Garamond" w:hAnsi="Garamond" w:cs="Garamond"/>
        </w:rPr>
        <w:t>1) Avviso per indagine di mercato per affidament</w:t>
      </w:r>
      <w:r w:rsidR="00A30E75">
        <w:rPr>
          <w:rFonts w:ascii="Garamond" w:hAnsi="Garamond" w:cs="Garamond"/>
        </w:rPr>
        <w:t>i</w:t>
      </w:r>
      <w:r>
        <w:rPr>
          <w:rFonts w:ascii="Garamond" w:hAnsi="Garamond" w:cs="Garamond"/>
        </w:rPr>
        <w:t xml:space="preserve"> inferiori a 40.000 euro</w:t>
      </w:r>
      <w:r w:rsidR="00A30E75">
        <w:rPr>
          <w:rFonts w:ascii="Garamond" w:hAnsi="Garamond" w:cs="Garamond"/>
        </w:rPr>
        <w:t xml:space="preserve"> (generico, non incentrato su una specifica prestazione tecnica)</w:t>
      </w:r>
      <w:r>
        <w:rPr>
          <w:rFonts w:ascii="Garamond" w:hAnsi="Garamond" w:cs="Garamond"/>
        </w:rPr>
        <w:t>;</w:t>
      </w:r>
    </w:p>
    <w:p w:rsidR="00B41CC4" w:rsidRDefault="00B41CC4" w:rsidP="007523AF">
      <w:pPr>
        <w:pStyle w:val="NormaleWeb"/>
        <w:jc w:val="both"/>
        <w:rPr>
          <w:rFonts w:ascii="Garamond" w:hAnsi="Garamond" w:cs="Garamond"/>
        </w:rPr>
      </w:pPr>
      <w:r>
        <w:rPr>
          <w:rFonts w:ascii="Garamond" w:hAnsi="Garamond" w:cs="Garamond"/>
        </w:rPr>
        <w:t xml:space="preserve">2) </w:t>
      </w:r>
      <w:r w:rsidR="000D3A44">
        <w:rPr>
          <w:rFonts w:ascii="Garamond" w:hAnsi="Garamond" w:cs="Garamond"/>
        </w:rPr>
        <w:t xml:space="preserve">Avviso per indagine di mercato </w:t>
      </w:r>
      <w:r w:rsidR="00A30E75">
        <w:rPr>
          <w:rFonts w:ascii="Garamond" w:hAnsi="Garamond" w:cs="Garamond"/>
        </w:rPr>
        <w:t xml:space="preserve">(generico, quindi non incentrato su una specifica prestazione tecnica) </w:t>
      </w:r>
      <w:r w:rsidR="000D3A44">
        <w:rPr>
          <w:rFonts w:ascii="Garamond" w:hAnsi="Garamond" w:cs="Garamond"/>
        </w:rPr>
        <w:t xml:space="preserve">+ </w:t>
      </w:r>
      <w:r w:rsidR="00BF6479">
        <w:rPr>
          <w:rFonts w:ascii="Garamond" w:hAnsi="Garamond" w:cs="Garamond"/>
        </w:rPr>
        <w:t>L</w:t>
      </w:r>
      <w:r>
        <w:rPr>
          <w:rFonts w:ascii="Garamond" w:hAnsi="Garamond" w:cs="Garamond"/>
        </w:rPr>
        <w:t xml:space="preserve">ettera di invito </w:t>
      </w:r>
      <w:r w:rsidR="00A30E75">
        <w:rPr>
          <w:rFonts w:ascii="Garamond" w:hAnsi="Garamond" w:cs="Garamond"/>
        </w:rPr>
        <w:t>+</w:t>
      </w:r>
      <w:r>
        <w:rPr>
          <w:rFonts w:ascii="Garamond" w:hAnsi="Garamond" w:cs="Garamond"/>
        </w:rPr>
        <w:t xml:space="preserve"> </w:t>
      </w:r>
      <w:r w:rsidR="000D3A44">
        <w:rPr>
          <w:rFonts w:ascii="Garamond" w:hAnsi="Garamond" w:cs="Garamond"/>
        </w:rPr>
        <w:t>D</w:t>
      </w:r>
      <w:r>
        <w:rPr>
          <w:rFonts w:ascii="Garamond" w:hAnsi="Garamond" w:cs="Garamond"/>
        </w:rPr>
        <w:t>isciplinare (</w:t>
      </w:r>
      <w:r w:rsidR="00A30E75">
        <w:rPr>
          <w:rFonts w:ascii="Garamond" w:hAnsi="Garamond" w:cs="Garamond"/>
        </w:rPr>
        <w:t xml:space="preserve">incentrati invece sull’affidamento di una progettazione) </w:t>
      </w:r>
      <w:r>
        <w:rPr>
          <w:rFonts w:ascii="Garamond" w:hAnsi="Garamond" w:cs="Garamond"/>
        </w:rPr>
        <w:t xml:space="preserve">per affidamenti </w:t>
      </w:r>
      <w:r w:rsidR="00A30E75">
        <w:rPr>
          <w:rFonts w:ascii="Garamond" w:hAnsi="Garamond" w:cs="Garamond"/>
        </w:rPr>
        <w:t xml:space="preserve">con procedura negoziata </w:t>
      </w:r>
      <w:r>
        <w:rPr>
          <w:rFonts w:ascii="Garamond" w:hAnsi="Garamond" w:cs="Garamond"/>
        </w:rPr>
        <w:t xml:space="preserve">tra 40.000 e </w:t>
      </w:r>
      <w:r w:rsidR="00A30E75">
        <w:rPr>
          <w:rFonts w:ascii="Garamond" w:hAnsi="Garamond" w:cs="Garamond"/>
        </w:rPr>
        <w:t>100.000 euro ovvero fino al</w:t>
      </w:r>
      <w:r w:rsidR="000D3A44">
        <w:rPr>
          <w:rFonts w:ascii="Garamond" w:hAnsi="Garamond" w:cs="Garamond"/>
        </w:rPr>
        <w:t>la soglia di rilievo europeo</w:t>
      </w:r>
      <w:r w:rsidR="00A30E75">
        <w:rPr>
          <w:rFonts w:ascii="Garamond" w:hAnsi="Garamond" w:cs="Garamond"/>
        </w:rPr>
        <w:t xml:space="preserve"> ove consentito</w:t>
      </w:r>
      <w:r>
        <w:rPr>
          <w:rFonts w:ascii="Garamond" w:hAnsi="Garamond" w:cs="Garamond"/>
        </w:rPr>
        <w:t>;</w:t>
      </w:r>
    </w:p>
    <w:p w:rsidR="00B41CC4" w:rsidRDefault="00B41CC4" w:rsidP="007523AF">
      <w:pPr>
        <w:pStyle w:val="NormaleWeb"/>
        <w:jc w:val="both"/>
        <w:rPr>
          <w:rFonts w:ascii="Garamond" w:hAnsi="Garamond" w:cs="Garamond"/>
        </w:rPr>
      </w:pPr>
      <w:r>
        <w:rPr>
          <w:rFonts w:ascii="Garamond" w:hAnsi="Garamond" w:cs="Garamond"/>
        </w:rPr>
        <w:t xml:space="preserve">3) </w:t>
      </w:r>
      <w:r w:rsidR="00BF6479">
        <w:rPr>
          <w:rFonts w:ascii="Garamond" w:hAnsi="Garamond" w:cs="Garamond"/>
        </w:rPr>
        <w:t xml:space="preserve">Disciplinare per affidamenti </w:t>
      </w:r>
      <w:r w:rsidR="00235CB0">
        <w:rPr>
          <w:rFonts w:ascii="Garamond" w:hAnsi="Garamond" w:cs="Garamond"/>
        </w:rPr>
        <w:t xml:space="preserve">con procedura aperta sopra-soglia o comunque </w:t>
      </w:r>
      <w:r w:rsidR="00BF6479">
        <w:rPr>
          <w:rFonts w:ascii="Garamond" w:hAnsi="Garamond" w:cs="Garamond"/>
        </w:rPr>
        <w:t>superiori a 100.000 euro</w:t>
      </w:r>
      <w:r w:rsidR="00A30E75">
        <w:rPr>
          <w:rFonts w:ascii="Garamond" w:hAnsi="Garamond" w:cs="Garamond"/>
        </w:rPr>
        <w:t>,</w:t>
      </w:r>
      <w:r w:rsidR="00BF6479">
        <w:rPr>
          <w:rFonts w:ascii="Garamond" w:hAnsi="Garamond" w:cs="Garamond"/>
        </w:rPr>
        <w:t xml:space="preserve"> </w:t>
      </w:r>
      <w:r w:rsidR="00235CB0">
        <w:rPr>
          <w:rFonts w:ascii="Garamond" w:hAnsi="Garamond" w:cs="Garamond"/>
        </w:rPr>
        <w:t>qualora non si possa ricorrere alla procedura sub 2</w:t>
      </w:r>
      <w:r w:rsidR="00A30E75">
        <w:rPr>
          <w:rFonts w:ascii="Garamond" w:hAnsi="Garamond" w:cs="Garamond"/>
        </w:rPr>
        <w:t xml:space="preserve"> (anche questo incentrato sull’affidamento di una progettazione</w:t>
      </w:r>
      <w:r w:rsidR="00235CB0">
        <w:rPr>
          <w:rFonts w:ascii="Garamond" w:hAnsi="Garamond" w:cs="Garamond"/>
        </w:rPr>
        <w:t>)</w:t>
      </w:r>
      <w:r w:rsidR="00BF6479">
        <w:rPr>
          <w:rFonts w:ascii="Garamond" w:hAnsi="Garamond" w:cs="Garamond"/>
        </w:rPr>
        <w:t>.</w:t>
      </w:r>
    </w:p>
    <w:p w:rsidR="00A30E75" w:rsidRDefault="00511C7E" w:rsidP="007523AF">
      <w:pPr>
        <w:pStyle w:val="NormaleWeb"/>
        <w:jc w:val="both"/>
        <w:rPr>
          <w:rFonts w:ascii="Garamond" w:hAnsi="Garamond" w:cs="Garamond"/>
        </w:rPr>
      </w:pPr>
      <w:r>
        <w:rPr>
          <w:rFonts w:ascii="Garamond" w:hAnsi="Garamond" w:cs="Garamond"/>
        </w:rPr>
        <w:t>Al contrario che per gli avvisi per indagine di mercato, s</w:t>
      </w:r>
      <w:r w:rsidR="00A30E75">
        <w:rPr>
          <w:rFonts w:ascii="Garamond" w:hAnsi="Garamond" w:cs="Garamond"/>
        </w:rPr>
        <w:t>i è ri</w:t>
      </w:r>
      <w:r>
        <w:rPr>
          <w:rFonts w:ascii="Garamond" w:hAnsi="Garamond" w:cs="Garamond"/>
        </w:rPr>
        <w:t>vela</w:t>
      </w:r>
      <w:r w:rsidR="00A30E75">
        <w:rPr>
          <w:rFonts w:ascii="Garamond" w:hAnsi="Garamond" w:cs="Garamond"/>
        </w:rPr>
        <w:t>to necessario</w:t>
      </w:r>
      <w:r>
        <w:rPr>
          <w:rFonts w:ascii="Garamond" w:hAnsi="Garamond" w:cs="Garamond"/>
        </w:rPr>
        <w:t>,</w:t>
      </w:r>
      <w:r w:rsidR="00A30E75">
        <w:rPr>
          <w:rFonts w:ascii="Garamond" w:hAnsi="Garamond" w:cs="Garamond"/>
        </w:rPr>
        <w:t xml:space="preserve"> </w:t>
      </w:r>
      <w:r>
        <w:rPr>
          <w:rFonts w:ascii="Garamond" w:hAnsi="Garamond" w:cs="Garamond"/>
        </w:rPr>
        <w:t xml:space="preserve">ai fini dell’elaborazione degli schemi di </w:t>
      </w:r>
      <w:r w:rsidR="00A30E75">
        <w:rPr>
          <w:rFonts w:ascii="Garamond" w:hAnsi="Garamond" w:cs="Garamond"/>
        </w:rPr>
        <w:t xml:space="preserve">lettera di invito e </w:t>
      </w:r>
      <w:r>
        <w:rPr>
          <w:rFonts w:ascii="Garamond" w:hAnsi="Garamond" w:cs="Garamond"/>
        </w:rPr>
        <w:t xml:space="preserve">dei </w:t>
      </w:r>
      <w:r w:rsidR="00A30E75">
        <w:rPr>
          <w:rFonts w:ascii="Garamond" w:hAnsi="Garamond" w:cs="Garamond"/>
        </w:rPr>
        <w:t>disciplinari</w:t>
      </w:r>
      <w:r>
        <w:rPr>
          <w:rFonts w:ascii="Garamond" w:hAnsi="Garamond" w:cs="Garamond"/>
        </w:rPr>
        <w:t>,</w:t>
      </w:r>
      <w:r w:rsidR="00A30E75">
        <w:rPr>
          <w:rFonts w:ascii="Garamond" w:hAnsi="Garamond" w:cs="Garamond"/>
        </w:rPr>
        <w:t xml:space="preserve"> individuare una specifica prestazione da affidare</w:t>
      </w:r>
      <w:r>
        <w:rPr>
          <w:rFonts w:ascii="Garamond" w:hAnsi="Garamond" w:cs="Garamond"/>
        </w:rPr>
        <w:t>,</w:t>
      </w:r>
      <w:r w:rsidR="00A30E75">
        <w:rPr>
          <w:rFonts w:ascii="Garamond" w:hAnsi="Garamond" w:cs="Garamond"/>
        </w:rPr>
        <w:t xml:space="preserve"> al fine </w:t>
      </w:r>
      <w:r>
        <w:rPr>
          <w:rFonts w:ascii="Garamond" w:hAnsi="Garamond" w:cs="Garamond"/>
        </w:rPr>
        <w:t xml:space="preserve">in particolare </w:t>
      </w:r>
      <w:r w:rsidR="00A30E75">
        <w:rPr>
          <w:rFonts w:ascii="Garamond" w:hAnsi="Garamond" w:cs="Garamond"/>
        </w:rPr>
        <w:t xml:space="preserve">di </w:t>
      </w:r>
      <w:r>
        <w:rPr>
          <w:rFonts w:ascii="Garamond" w:hAnsi="Garamond" w:cs="Garamond"/>
        </w:rPr>
        <w:t>poter ipotizzare un’ipotesi di Offerta Economicamente Più Vantaggiosa (di seguito anche solo “OEPV”)</w:t>
      </w:r>
      <w:r w:rsidR="00A30E75">
        <w:rPr>
          <w:rFonts w:ascii="Garamond" w:hAnsi="Garamond" w:cs="Garamond"/>
        </w:rPr>
        <w:t>. Si ritiene comunque che gli schemi possano essere agilmente adattabili a diverse esigenze di affidamento.</w:t>
      </w:r>
    </w:p>
    <w:p w:rsidR="00AB53FF" w:rsidRDefault="00AB53FF" w:rsidP="007523AF">
      <w:pPr>
        <w:pStyle w:val="NormaleWeb"/>
        <w:jc w:val="both"/>
        <w:rPr>
          <w:rFonts w:ascii="Garamond" w:hAnsi="Garamond" w:cs="Garamond"/>
        </w:rPr>
      </w:pPr>
      <w:r>
        <w:rPr>
          <w:rFonts w:ascii="Garamond" w:hAnsi="Garamond" w:cs="Garamond"/>
        </w:rPr>
        <w:t>Insieme ai predetti schemi si è elaborato il presente documento, che costituisce</w:t>
      </w:r>
      <w:r w:rsidR="00C36684">
        <w:rPr>
          <w:rFonts w:ascii="Garamond" w:hAnsi="Garamond" w:cs="Garamond"/>
        </w:rPr>
        <w:t>,</w:t>
      </w:r>
      <w:r>
        <w:rPr>
          <w:rFonts w:ascii="Garamond" w:hAnsi="Garamond" w:cs="Garamond"/>
        </w:rPr>
        <w:t xml:space="preserve"> nelle intenzioni</w:t>
      </w:r>
      <w:r w:rsidR="00C36684">
        <w:rPr>
          <w:rFonts w:ascii="Garamond" w:hAnsi="Garamond" w:cs="Garamond"/>
        </w:rPr>
        <w:t>,</w:t>
      </w:r>
      <w:r>
        <w:rPr>
          <w:rFonts w:ascii="Garamond" w:hAnsi="Garamond" w:cs="Garamond"/>
        </w:rPr>
        <w:t xml:space="preserve"> un documento operativo di sintesi delle indicazioni provenienti </w:t>
      </w:r>
      <w:r w:rsidR="00D653B9">
        <w:rPr>
          <w:rFonts w:ascii="Garamond" w:hAnsi="Garamond" w:cs="Garamond"/>
        </w:rPr>
        <w:t>in particolar modo dall’ANAC (</w:t>
      </w:r>
      <w:r w:rsidR="00002CED">
        <w:rPr>
          <w:rFonts w:ascii="Garamond" w:hAnsi="Garamond" w:cs="Garamond"/>
        </w:rPr>
        <w:t>in stretta aderenza alle stesse</w:t>
      </w:r>
      <w:r w:rsidR="000439B5">
        <w:rPr>
          <w:rFonts w:ascii="Garamond" w:hAnsi="Garamond" w:cs="Garamond"/>
        </w:rPr>
        <w:t xml:space="preserve">, comprese </w:t>
      </w:r>
      <w:r w:rsidR="00002CED">
        <w:rPr>
          <w:rFonts w:ascii="Garamond" w:hAnsi="Garamond" w:cs="Garamond"/>
        </w:rPr>
        <w:t xml:space="preserve">quelle </w:t>
      </w:r>
      <w:r w:rsidR="000439B5">
        <w:rPr>
          <w:rFonts w:ascii="Garamond" w:hAnsi="Garamond" w:cs="Garamond"/>
        </w:rPr>
        <w:t>desumibili d</w:t>
      </w:r>
      <w:r w:rsidR="00D653B9">
        <w:rPr>
          <w:rFonts w:ascii="Garamond" w:hAnsi="Garamond" w:cs="Garamond"/>
        </w:rPr>
        <w:t>ai documenti di consultazione</w:t>
      </w:r>
      <w:r w:rsidR="000439B5">
        <w:rPr>
          <w:rFonts w:ascii="Garamond" w:hAnsi="Garamond" w:cs="Garamond"/>
        </w:rPr>
        <w:t xml:space="preserve"> per l’aggiornamento al primo correttivo</w:t>
      </w:r>
      <w:r w:rsidR="00D653B9">
        <w:rPr>
          <w:rFonts w:ascii="Garamond" w:hAnsi="Garamond" w:cs="Garamond"/>
        </w:rPr>
        <w:t xml:space="preserve">), al fine auspicato di favorire la comprensione degli schemi e il loro </w:t>
      </w:r>
      <w:r w:rsidR="00C36684">
        <w:rPr>
          <w:rFonts w:ascii="Garamond" w:hAnsi="Garamond" w:cs="Garamond"/>
        </w:rPr>
        <w:t xml:space="preserve">concreto </w:t>
      </w:r>
      <w:r w:rsidR="00D653B9">
        <w:rPr>
          <w:rFonts w:ascii="Garamond" w:hAnsi="Garamond" w:cs="Garamond"/>
        </w:rPr>
        <w:t>utilizzo</w:t>
      </w:r>
      <w:r w:rsidR="00C36684">
        <w:rPr>
          <w:rFonts w:ascii="Garamond" w:hAnsi="Garamond" w:cs="Garamond"/>
        </w:rPr>
        <w:t xml:space="preserve">, segnalando i punti più </w:t>
      </w:r>
      <w:r w:rsidR="000439B5">
        <w:rPr>
          <w:rFonts w:ascii="Garamond" w:hAnsi="Garamond" w:cs="Garamond"/>
        </w:rPr>
        <w:t>sensibili</w:t>
      </w:r>
      <w:r w:rsidR="00C36684">
        <w:rPr>
          <w:rFonts w:ascii="Garamond" w:hAnsi="Garamond" w:cs="Garamond"/>
        </w:rPr>
        <w:t xml:space="preserve"> </w:t>
      </w:r>
      <w:r w:rsidR="000439B5">
        <w:rPr>
          <w:rFonts w:ascii="Garamond" w:hAnsi="Garamond" w:cs="Garamond"/>
        </w:rPr>
        <w:t xml:space="preserve">per </w:t>
      </w:r>
      <w:r w:rsidR="00C36684">
        <w:rPr>
          <w:rFonts w:ascii="Garamond" w:hAnsi="Garamond" w:cs="Garamond"/>
        </w:rPr>
        <w:t>la gestione delle procedura di selezione</w:t>
      </w:r>
      <w:r w:rsidR="00D653B9">
        <w:rPr>
          <w:rFonts w:ascii="Garamond" w:hAnsi="Garamond" w:cs="Garamond"/>
        </w:rPr>
        <w:t>.</w:t>
      </w:r>
    </w:p>
    <w:p w:rsidR="00002CED" w:rsidRDefault="00002CED" w:rsidP="007523AF">
      <w:pPr>
        <w:pStyle w:val="NormaleWeb"/>
        <w:jc w:val="both"/>
        <w:rPr>
          <w:rFonts w:ascii="Garamond" w:hAnsi="Garamond" w:cs="Garamond"/>
        </w:rPr>
      </w:pPr>
      <w:r>
        <w:rPr>
          <w:rFonts w:ascii="Garamond" w:hAnsi="Garamond" w:cs="Garamond"/>
        </w:rPr>
        <w:t xml:space="preserve">Ovviamente il presente documento </w:t>
      </w:r>
      <w:r w:rsidR="0069396D">
        <w:rPr>
          <w:rFonts w:ascii="Garamond" w:hAnsi="Garamond" w:cs="Garamond"/>
        </w:rPr>
        <w:t xml:space="preserve">in alcun modo </w:t>
      </w:r>
      <w:r>
        <w:rPr>
          <w:rFonts w:ascii="Garamond" w:hAnsi="Garamond" w:cs="Garamond"/>
        </w:rPr>
        <w:t xml:space="preserve">può considerarsi sostitutivo della </w:t>
      </w:r>
      <w:r w:rsidR="007F548B">
        <w:rPr>
          <w:rFonts w:ascii="Garamond" w:hAnsi="Garamond" w:cs="Garamond"/>
        </w:rPr>
        <w:t xml:space="preserve">completa </w:t>
      </w:r>
      <w:r>
        <w:rPr>
          <w:rFonts w:ascii="Garamond" w:hAnsi="Garamond" w:cs="Garamond"/>
        </w:rPr>
        <w:t>lettura di tutta la normativa e linee guida vigenti</w:t>
      </w:r>
      <w:r w:rsidR="00200034">
        <w:rPr>
          <w:rFonts w:ascii="Garamond" w:hAnsi="Garamond" w:cs="Garamond"/>
        </w:rPr>
        <w:t>.</w:t>
      </w:r>
    </w:p>
    <w:p w:rsidR="00200034" w:rsidRDefault="00A30E75" w:rsidP="00200034">
      <w:pPr>
        <w:pStyle w:val="NormaleWeb"/>
        <w:jc w:val="both"/>
        <w:rPr>
          <w:rFonts w:ascii="Garamond" w:hAnsi="Garamond" w:cs="Garamond"/>
        </w:rPr>
      </w:pPr>
      <w:r>
        <w:rPr>
          <w:rFonts w:ascii="Garamond" w:hAnsi="Garamond" w:cs="Garamond"/>
        </w:rPr>
        <w:t>I</w:t>
      </w:r>
      <w:r w:rsidR="00200034">
        <w:rPr>
          <w:rFonts w:ascii="Garamond" w:hAnsi="Garamond" w:cs="Garamond"/>
        </w:rPr>
        <w:t xml:space="preserve">n prosieguo </w:t>
      </w:r>
      <w:r>
        <w:rPr>
          <w:rFonts w:ascii="Garamond" w:hAnsi="Garamond" w:cs="Garamond"/>
        </w:rPr>
        <w:t>il lavoro andrà eventualmente</w:t>
      </w:r>
      <w:r w:rsidR="00200034">
        <w:rPr>
          <w:rFonts w:ascii="Garamond" w:hAnsi="Garamond" w:cs="Garamond"/>
        </w:rPr>
        <w:t xml:space="preserve"> adeguato all’introduzione della piattaforma digitale regionale per lo svolgimento delle procedure di selezione sotto-soglia</w:t>
      </w:r>
      <w:r>
        <w:rPr>
          <w:rFonts w:ascii="Garamond" w:hAnsi="Garamond" w:cs="Garamond"/>
        </w:rPr>
        <w:t xml:space="preserve"> e/o della piattaforma digitale per la costituzione e gestione dell’elenco regionale dei fornitori (comprendente anche la sezione per i fornitori di servizi tecnici)</w:t>
      </w:r>
      <w:r w:rsidR="00200034">
        <w:rPr>
          <w:rFonts w:ascii="Garamond" w:hAnsi="Garamond" w:cs="Garamond"/>
        </w:rPr>
        <w:t>.</w:t>
      </w:r>
    </w:p>
    <w:p w:rsidR="00C84D8D" w:rsidRPr="00C36684" w:rsidRDefault="00C84D8D" w:rsidP="007523AF">
      <w:pPr>
        <w:pStyle w:val="NormaleWeb"/>
        <w:jc w:val="both"/>
        <w:rPr>
          <w:rFonts w:ascii="Garamond" w:hAnsi="Garamond" w:cs="Garamond"/>
          <w:b/>
        </w:rPr>
      </w:pPr>
      <w:r w:rsidRPr="00C36684">
        <w:rPr>
          <w:rFonts w:ascii="Garamond" w:hAnsi="Garamond" w:cs="Garamond"/>
          <w:b/>
        </w:rPr>
        <w:t xml:space="preserve">QUADRO </w:t>
      </w:r>
      <w:r w:rsidR="00BF6479" w:rsidRPr="00C36684">
        <w:rPr>
          <w:rFonts w:ascii="Garamond" w:hAnsi="Garamond" w:cs="Garamond"/>
          <w:b/>
        </w:rPr>
        <w:t xml:space="preserve">DI RIFERIMENTO </w:t>
      </w:r>
      <w:r w:rsidRPr="00C36684">
        <w:rPr>
          <w:rFonts w:ascii="Garamond" w:hAnsi="Garamond" w:cs="Garamond"/>
          <w:b/>
        </w:rPr>
        <w:t>NORMATIVO</w:t>
      </w:r>
      <w:r w:rsidR="00BF6479" w:rsidRPr="00C36684">
        <w:rPr>
          <w:rFonts w:ascii="Garamond" w:hAnsi="Garamond" w:cs="Garamond"/>
          <w:b/>
        </w:rPr>
        <w:t xml:space="preserve"> FONDAMENTALE </w:t>
      </w:r>
    </w:p>
    <w:p w:rsidR="00BF6479" w:rsidRPr="008E5CDA" w:rsidRDefault="00BF6479" w:rsidP="007523AF">
      <w:pPr>
        <w:pStyle w:val="NormaleWeb"/>
        <w:jc w:val="both"/>
        <w:rPr>
          <w:rFonts w:ascii="Garamond" w:hAnsi="Garamond" w:cs="Garamond"/>
          <w:u w:val="single"/>
        </w:rPr>
      </w:pPr>
      <w:r w:rsidRPr="008E5CDA">
        <w:rPr>
          <w:rFonts w:ascii="Garamond" w:hAnsi="Garamond" w:cs="Garamond"/>
          <w:u w:val="single"/>
        </w:rPr>
        <w:t>D.LGS. 50/16</w:t>
      </w:r>
    </w:p>
    <w:p w:rsidR="00C84D8D" w:rsidRDefault="00BF6479" w:rsidP="007523AF">
      <w:pPr>
        <w:pStyle w:val="NormaleWeb"/>
        <w:jc w:val="both"/>
        <w:rPr>
          <w:rFonts w:ascii="Garamond" w:hAnsi="Garamond" w:cs="Garamond"/>
        </w:rPr>
      </w:pPr>
      <w:r>
        <w:rPr>
          <w:rFonts w:ascii="Garamond" w:hAnsi="Garamond" w:cs="Garamond"/>
        </w:rPr>
        <w:t xml:space="preserve">- </w:t>
      </w:r>
      <w:r w:rsidR="00C84D8D" w:rsidRPr="00C84D8D">
        <w:rPr>
          <w:rFonts w:ascii="Garamond" w:hAnsi="Garamond" w:cs="Garamond"/>
        </w:rPr>
        <w:t xml:space="preserve">art. 3, lett. vvvv) </w:t>
      </w:r>
      <w:r w:rsidR="007523AF">
        <w:rPr>
          <w:rFonts w:ascii="Garamond" w:hAnsi="Garamond" w:cs="Garamond"/>
        </w:rPr>
        <w:t>definizione de</w:t>
      </w:r>
      <w:r w:rsidR="00C84D8D" w:rsidRPr="00C84D8D">
        <w:rPr>
          <w:rFonts w:ascii="Garamond" w:hAnsi="Garamond" w:cs="Garamond"/>
        </w:rPr>
        <w:t xml:space="preserve"> “</w:t>
      </w:r>
      <w:r w:rsidR="00C84D8D" w:rsidRPr="00C84D8D">
        <w:rPr>
          <w:rFonts w:ascii="Garamond" w:hAnsi="Garamond" w:cs="Garamond"/>
          <w:i/>
          <w:iCs/>
        </w:rPr>
        <w:t>i servizi riservati ad operatori economici esercenti una professione regolamentata ai sensi dell’articolo 3 della direttiva 2005/36/CE</w:t>
      </w:r>
      <w:r w:rsidR="00C84D8D" w:rsidRPr="00C84D8D">
        <w:rPr>
          <w:rFonts w:ascii="Garamond" w:hAnsi="Garamond" w:cs="Garamond"/>
        </w:rPr>
        <w:t xml:space="preserve">”. </w:t>
      </w:r>
    </w:p>
    <w:p w:rsidR="00C84D8D" w:rsidRDefault="00C84D8D" w:rsidP="007523AF">
      <w:pPr>
        <w:pStyle w:val="NormaleWeb"/>
        <w:jc w:val="both"/>
        <w:rPr>
          <w:rFonts w:ascii="Garamond" w:hAnsi="Garamond" w:cs="Garamond"/>
        </w:rPr>
      </w:pPr>
      <w:r>
        <w:rPr>
          <w:rFonts w:ascii="Garamond" w:hAnsi="Garamond" w:cs="Garamond"/>
        </w:rPr>
        <w:lastRenderedPageBreak/>
        <w:t xml:space="preserve">- </w:t>
      </w:r>
      <w:r w:rsidRPr="00C84D8D">
        <w:rPr>
          <w:rFonts w:ascii="Garamond" w:hAnsi="Garamond" w:cs="Garamond"/>
        </w:rPr>
        <w:t>art. 23</w:t>
      </w:r>
      <w:r w:rsidR="007523AF">
        <w:rPr>
          <w:rFonts w:ascii="Garamond" w:hAnsi="Garamond" w:cs="Garamond"/>
        </w:rPr>
        <w:t xml:space="preserve"> (in particolare </w:t>
      </w:r>
      <w:r w:rsidRPr="00C84D8D">
        <w:rPr>
          <w:rFonts w:ascii="Garamond" w:hAnsi="Garamond" w:cs="Garamond"/>
        </w:rPr>
        <w:t>commi 2 e 12</w:t>
      </w:r>
      <w:r w:rsidR="007523AF">
        <w:rPr>
          <w:rFonts w:ascii="Garamond" w:hAnsi="Garamond" w:cs="Garamond"/>
        </w:rPr>
        <w:t>)</w:t>
      </w:r>
      <w:r w:rsidRPr="00C84D8D">
        <w:rPr>
          <w:rFonts w:ascii="Garamond" w:hAnsi="Garamond" w:cs="Garamond"/>
        </w:rPr>
        <w:t xml:space="preserve"> – Livelli della progettazione per gli appalti, per le concessioni di lavori nonché per i servizi; </w:t>
      </w:r>
    </w:p>
    <w:p w:rsidR="00C84D8D" w:rsidRDefault="00C84D8D" w:rsidP="007523AF">
      <w:pPr>
        <w:pStyle w:val="NormaleWeb"/>
        <w:jc w:val="both"/>
        <w:rPr>
          <w:rFonts w:ascii="Garamond" w:hAnsi="Garamond" w:cs="Garamond"/>
        </w:rPr>
      </w:pPr>
      <w:r>
        <w:rPr>
          <w:rFonts w:ascii="Garamond" w:hAnsi="Garamond" w:cs="Garamond"/>
        </w:rPr>
        <w:t xml:space="preserve">- </w:t>
      </w:r>
      <w:r w:rsidRPr="00C84D8D">
        <w:rPr>
          <w:rFonts w:ascii="Garamond" w:hAnsi="Garamond" w:cs="Garamond"/>
        </w:rPr>
        <w:t>art. 24</w:t>
      </w:r>
      <w:r w:rsidR="007523AF">
        <w:rPr>
          <w:rFonts w:ascii="Garamond" w:hAnsi="Garamond" w:cs="Garamond"/>
        </w:rPr>
        <w:t xml:space="preserve"> (in particolare </w:t>
      </w:r>
      <w:r w:rsidRPr="00C84D8D">
        <w:rPr>
          <w:rFonts w:ascii="Garamond" w:hAnsi="Garamond" w:cs="Garamond"/>
        </w:rPr>
        <w:t xml:space="preserve">commi </w:t>
      </w:r>
      <w:r w:rsidR="007523AF">
        <w:rPr>
          <w:rFonts w:ascii="Garamond" w:hAnsi="Garamond" w:cs="Garamond"/>
        </w:rPr>
        <w:t>1</w:t>
      </w:r>
      <w:r w:rsidRPr="00C84D8D">
        <w:rPr>
          <w:rFonts w:ascii="Garamond" w:hAnsi="Garamond" w:cs="Garamond"/>
        </w:rPr>
        <w:t xml:space="preserve"> e </w:t>
      </w:r>
      <w:r w:rsidR="007523AF">
        <w:rPr>
          <w:rFonts w:ascii="Garamond" w:hAnsi="Garamond" w:cs="Garamond"/>
        </w:rPr>
        <w:t>5-8</w:t>
      </w:r>
      <w:r w:rsidR="007523AF" w:rsidRPr="007523AF">
        <w:rPr>
          <w:rFonts w:ascii="Garamond" w:hAnsi="Garamond" w:cs="Garamond"/>
          <w:i/>
        </w:rPr>
        <w:t>ter</w:t>
      </w:r>
      <w:r w:rsidR="007523AF">
        <w:rPr>
          <w:rFonts w:ascii="Garamond" w:hAnsi="Garamond" w:cs="Garamond"/>
        </w:rPr>
        <w:t>)</w:t>
      </w:r>
      <w:r w:rsidRPr="00C84D8D">
        <w:rPr>
          <w:rFonts w:ascii="Garamond" w:hAnsi="Garamond" w:cs="Garamond"/>
        </w:rPr>
        <w:t xml:space="preserve"> – Progettazione interna e esterna alle amministrazioni aggiudicatrici in materia di lavori pubblici; </w:t>
      </w:r>
    </w:p>
    <w:p w:rsidR="00C84D8D" w:rsidRDefault="00C84D8D" w:rsidP="007523AF">
      <w:pPr>
        <w:pStyle w:val="NormaleWeb"/>
        <w:jc w:val="both"/>
        <w:rPr>
          <w:rFonts w:ascii="Garamond" w:hAnsi="Garamond" w:cs="Garamond"/>
        </w:rPr>
      </w:pPr>
      <w:r>
        <w:rPr>
          <w:rFonts w:ascii="Garamond" w:hAnsi="Garamond" w:cs="Garamond"/>
        </w:rPr>
        <w:t xml:space="preserve">- </w:t>
      </w:r>
      <w:r w:rsidRPr="00C84D8D">
        <w:rPr>
          <w:rFonts w:ascii="Garamond" w:hAnsi="Garamond" w:cs="Garamond"/>
        </w:rPr>
        <w:t>art. 31</w:t>
      </w:r>
      <w:r w:rsidR="007523AF">
        <w:rPr>
          <w:rFonts w:ascii="Garamond" w:hAnsi="Garamond" w:cs="Garamond"/>
        </w:rPr>
        <w:t xml:space="preserve"> (in particolare </w:t>
      </w:r>
      <w:r w:rsidRPr="00C84D8D">
        <w:rPr>
          <w:rFonts w:ascii="Garamond" w:hAnsi="Garamond" w:cs="Garamond"/>
        </w:rPr>
        <w:t>comma 8</w:t>
      </w:r>
      <w:r w:rsidR="007523AF">
        <w:rPr>
          <w:rFonts w:ascii="Garamond" w:hAnsi="Garamond" w:cs="Garamond"/>
        </w:rPr>
        <w:t>)</w:t>
      </w:r>
      <w:r w:rsidRPr="00C84D8D">
        <w:rPr>
          <w:rFonts w:ascii="Garamond" w:hAnsi="Garamond" w:cs="Garamond"/>
        </w:rPr>
        <w:t xml:space="preserve"> – Ruolo e funzioni del responsabile del procedimento neg</w:t>
      </w:r>
      <w:r w:rsidR="007523AF">
        <w:rPr>
          <w:rFonts w:ascii="Garamond" w:hAnsi="Garamond" w:cs="Garamond"/>
        </w:rPr>
        <w:t>li appalti e nelle concessioni;</w:t>
      </w:r>
    </w:p>
    <w:p w:rsidR="00C84D8D" w:rsidRDefault="00C84D8D" w:rsidP="007523AF">
      <w:pPr>
        <w:pStyle w:val="NormaleWeb"/>
        <w:jc w:val="both"/>
        <w:rPr>
          <w:rFonts w:ascii="Garamond" w:hAnsi="Garamond" w:cs="Garamond"/>
        </w:rPr>
      </w:pPr>
      <w:r>
        <w:rPr>
          <w:rFonts w:ascii="Garamond" w:hAnsi="Garamond" w:cs="Garamond"/>
        </w:rPr>
        <w:t xml:space="preserve">- </w:t>
      </w:r>
      <w:r w:rsidRPr="00C84D8D">
        <w:rPr>
          <w:rFonts w:ascii="Garamond" w:hAnsi="Garamond" w:cs="Garamond"/>
        </w:rPr>
        <w:t xml:space="preserve">art. 46 – Operatori economici per l’affidamento dei servizi di architettura e ingegneria e gli altri servizi tecnici; </w:t>
      </w:r>
    </w:p>
    <w:p w:rsidR="00C84D8D" w:rsidRDefault="00C84D8D" w:rsidP="007523AF">
      <w:pPr>
        <w:pStyle w:val="NormaleWeb"/>
        <w:jc w:val="both"/>
        <w:rPr>
          <w:rFonts w:ascii="Garamond" w:hAnsi="Garamond" w:cs="Garamond"/>
        </w:rPr>
      </w:pPr>
      <w:r>
        <w:rPr>
          <w:rFonts w:ascii="Garamond" w:hAnsi="Garamond" w:cs="Garamond"/>
        </w:rPr>
        <w:t xml:space="preserve">- </w:t>
      </w:r>
      <w:r w:rsidRPr="00C84D8D">
        <w:rPr>
          <w:rFonts w:ascii="Garamond" w:hAnsi="Garamond" w:cs="Garamond"/>
        </w:rPr>
        <w:t xml:space="preserve">art. 83 – Criteri di selezione e soccorso istruttorio; </w:t>
      </w:r>
    </w:p>
    <w:p w:rsidR="00C84D8D" w:rsidRDefault="00C84D8D" w:rsidP="007523AF">
      <w:pPr>
        <w:pStyle w:val="NormaleWeb"/>
        <w:jc w:val="both"/>
        <w:rPr>
          <w:rFonts w:ascii="Garamond" w:hAnsi="Garamond" w:cs="Garamond"/>
        </w:rPr>
      </w:pPr>
      <w:r>
        <w:rPr>
          <w:rFonts w:ascii="Garamond" w:hAnsi="Garamond" w:cs="Garamond"/>
        </w:rPr>
        <w:t xml:space="preserve">- </w:t>
      </w:r>
      <w:r w:rsidRPr="00C84D8D">
        <w:rPr>
          <w:rFonts w:ascii="Garamond" w:hAnsi="Garamond" w:cs="Garamond"/>
        </w:rPr>
        <w:t>art. 93</w:t>
      </w:r>
      <w:r w:rsidR="007523AF">
        <w:rPr>
          <w:rFonts w:ascii="Garamond" w:hAnsi="Garamond" w:cs="Garamond"/>
        </w:rPr>
        <w:t xml:space="preserve"> (in particolare </w:t>
      </w:r>
      <w:r w:rsidRPr="00C84D8D">
        <w:rPr>
          <w:rFonts w:ascii="Garamond" w:hAnsi="Garamond" w:cs="Garamond"/>
        </w:rPr>
        <w:t>comm</w:t>
      </w:r>
      <w:r w:rsidR="007523AF">
        <w:rPr>
          <w:rFonts w:ascii="Garamond" w:hAnsi="Garamond" w:cs="Garamond"/>
        </w:rPr>
        <w:t>i 1</w:t>
      </w:r>
      <w:r w:rsidRPr="00C84D8D">
        <w:rPr>
          <w:rFonts w:ascii="Garamond" w:hAnsi="Garamond" w:cs="Garamond"/>
        </w:rPr>
        <w:t xml:space="preserve"> </w:t>
      </w:r>
      <w:r w:rsidR="007523AF">
        <w:rPr>
          <w:rFonts w:ascii="Garamond" w:hAnsi="Garamond" w:cs="Garamond"/>
        </w:rPr>
        <w:t xml:space="preserve">e </w:t>
      </w:r>
      <w:r w:rsidRPr="00C84D8D">
        <w:rPr>
          <w:rFonts w:ascii="Garamond" w:hAnsi="Garamond" w:cs="Garamond"/>
        </w:rPr>
        <w:t>10</w:t>
      </w:r>
      <w:r w:rsidR="007523AF">
        <w:rPr>
          <w:rFonts w:ascii="Garamond" w:hAnsi="Garamond" w:cs="Garamond"/>
        </w:rPr>
        <w:t>)</w:t>
      </w:r>
      <w:r w:rsidRPr="00C84D8D">
        <w:rPr>
          <w:rFonts w:ascii="Garamond" w:hAnsi="Garamond" w:cs="Garamond"/>
        </w:rPr>
        <w:t xml:space="preserve"> – Garanzie per la partecipazione alla procedura; </w:t>
      </w:r>
    </w:p>
    <w:p w:rsidR="00C84D8D" w:rsidRDefault="00C84D8D" w:rsidP="007523AF">
      <w:pPr>
        <w:pStyle w:val="NormaleWeb"/>
        <w:jc w:val="both"/>
        <w:rPr>
          <w:rFonts w:ascii="Garamond" w:hAnsi="Garamond" w:cs="Garamond"/>
        </w:rPr>
      </w:pPr>
      <w:r>
        <w:rPr>
          <w:rFonts w:ascii="Garamond" w:hAnsi="Garamond" w:cs="Garamond"/>
        </w:rPr>
        <w:t xml:space="preserve">- </w:t>
      </w:r>
      <w:r w:rsidRPr="00C84D8D">
        <w:rPr>
          <w:rFonts w:ascii="Garamond" w:hAnsi="Garamond" w:cs="Garamond"/>
        </w:rPr>
        <w:t xml:space="preserve">art. 95 </w:t>
      </w:r>
      <w:r w:rsidR="007523AF">
        <w:rPr>
          <w:rFonts w:ascii="Garamond" w:hAnsi="Garamond" w:cs="Garamond"/>
        </w:rPr>
        <w:t xml:space="preserve">(in particolare </w:t>
      </w:r>
      <w:r w:rsidRPr="00C84D8D">
        <w:rPr>
          <w:rFonts w:ascii="Garamond" w:hAnsi="Garamond" w:cs="Garamond"/>
        </w:rPr>
        <w:t xml:space="preserve">comma 3 lett. b) – Criteri di aggiudicazione dell’appalto; </w:t>
      </w:r>
    </w:p>
    <w:p w:rsidR="00C84D8D" w:rsidRDefault="00C84D8D" w:rsidP="007523AF">
      <w:pPr>
        <w:pStyle w:val="NormaleWeb"/>
        <w:jc w:val="both"/>
        <w:rPr>
          <w:rFonts w:ascii="Garamond" w:hAnsi="Garamond" w:cs="Garamond"/>
        </w:rPr>
      </w:pPr>
      <w:r>
        <w:rPr>
          <w:rFonts w:ascii="Garamond" w:hAnsi="Garamond" w:cs="Garamond"/>
        </w:rPr>
        <w:t xml:space="preserve">- </w:t>
      </w:r>
      <w:r w:rsidRPr="00C84D8D">
        <w:rPr>
          <w:rFonts w:ascii="Garamond" w:hAnsi="Garamond" w:cs="Garamond"/>
        </w:rPr>
        <w:t>art. 157 – Altri incarichi di progettazione</w:t>
      </w:r>
      <w:r w:rsidR="00BF6479">
        <w:rPr>
          <w:rFonts w:ascii="Garamond" w:hAnsi="Garamond" w:cs="Garamond"/>
        </w:rPr>
        <w:t>;</w:t>
      </w:r>
    </w:p>
    <w:p w:rsidR="007523AF" w:rsidRPr="00A666E9" w:rsidRDefault="00A666E9" w:rsidP="007523AF">
      <w:pPr>
        <w:pStyle w:val="NormaleWeb"/>
        <w:jc w:val="both"/>
        <w:rPr>
          <w:rFonts w:ascii="Garamond" w:hAnsi="Garamond" w:cs="Garamond"/>
          <w:iCs/>
        </w:rPr>
      </w:pPr>
      <w:r w:rsidRPr="008E5CDA">
        <w:rPr>
          <w:rFonts w:ascii="Garamond" w:hAnsi="Garamond" w:cs="Garamond"/>
          <w:iCs/>
          <w:u w:val="single"/>
        </w:rPr>
        <w:t>D.M</w:t>
      </w:r>
      <w:r w:rsidR="007523AF" w:rsidRPr="008E5CDA">
        <w:rPr>
          <w:rFonts w:ascii="Garamond" w:hAnsi="Garamond" w:cs="Garamond"/>
          <w:iCs/>
          <w:u w:val="single"/>
        </w:rPr>
        <w:t xml:space="preserve">. </w:t>
      </w:r>
      <w:r w:rsidRPr="008E5CDA">
        <w:rPr>
          <w:rFonts w:ascii="Garamond" w:hAnsi="Garamond" w:cs="Garamond"/>
          <w:iCs/>
          <w:u w:val="single"/>
        </w:rPr>
        <w:t xml:space="preserve">MIT </w:t>
      </w:r>
      <w:r w:rsidR="007523AF" w:rsidRPr="008E5CDA">
        <w:rPr>
          <w:rFonts w:ascii="Garamond" w:hAnsi="Garamond" w:cs="Garamond"/>
          <w:iCs/>
          <w:u w:val="single"/>
        </w:rPr>
        <w:t>2 dicembre 2016, n. 263</w:t>
      </w:r>
      <w:r>
        <w:rPr>
          <w:rFonts w:ascii="Garamond" w:hAnsi="Garamond" w:cs="Garamond"/>
          <w:iCs/>
        </w:rPr>
        <w:t xml:space="preserve"> (</w:t>
      </w:r>
      <w:r w:rsidRPr="00A666E9">
        <w:rPr>
          <w:rFonts w:ascii="Garamond" w:hAnsi="Garamond" w:cs="Garamond"/>
          <w:bCs/>
          <w:i/>
          <w:iCs/>
          <w:sz w:val="22"/>
          <w:szCs w:val="22"/>
        </w:rPr>
        <w:t>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 50</w:t>
      </w:r>
      <w:r>
        <w:rPr>
          <w:rFonts w:ascii="Garamond" w:hAnsi="Garamond" w:cs="Garamond"/>
          <w:bCs/>
          <w:iCs/>
        </w:rPr>
        <w:t>)</w:t>
      </w:r>
    </w:p>
    <w:p w:rsidR="00A666E9" w:rsidRPr="00A666E9" w:rsidRDefault="00A666E9" w:rsidP="007523AF">
      <w:pPr>
        <w:pStyle w:val="NormaleWeb"/>
        <w:jc w:val="both"/>
        <w:rPr>
          <w:rFonts w:ascii="Garamond" w:hAnsi="Garamond" w:cs="Garamond"/>
        </w:rPr>
      </w:pPr>
      <w:r w:rsidRPr="008E5CDA">
        <w:rPr>
          <w:rFonts w:ascii="Garamond" w:hAnsi="Garamond" w:cs="Garamond"/>
          <w:iCs/>
          <w:u w:val="single"/>
        </w:rPr>
        <w:t xml:space="preserve">D.M. </w:t>
      </w:r>
      <w:r w:rsidRPr="008E5CDA">
        <w:rPr>
          <w:rFonts w:ascii="Garamond" w:hAnsi="Garamond" w:cs="Garamond"/>
          <w:bCs/>
          <w:u w:val="single"/>
        </w:rPr>
        <w:t>GIUSTIZIA 17 giugno 2016</w:t>
      </w:r>
      <w:r w:rsidRPr="00A666E9">
        <w:rPr>
          <w:rFonts w:ascii="Garamond" w:hAnsi="Garamond" w:cs="Garamond"/>
          <w:bCs/>
        </w:rPr>
        <w:t xml:space="preserve"> </w:t>
      </w:r>
      <w:r>
        <w:rPr>
          <w:rFonts w:ascii="Garamond" w:hAnsi="Garamond" w:cs="Garamond"/>
          <w:bCs/>
        </w:rPr>
        <w:t>(</w:t>
      </w:r>
      <w:r w:rsidRPr="00A666E9">
        <w:rPr>
          <w:rFonts w:ascii="Garamond" w:hAnsi="Garamond" w:cs="Garamond"/>
          <w:bCs/>
          <w:i/>
          <w:sz w:val="22"/>
          <w:szCs w:val="22"/>
        </w:rPr>
        <w:t>Approvazione delle tabelle dei corrispettivi commisurati al livello qualitativo delle prestazioni di progettazione adottato ai sensi dell'art. 24, comma 8, del decreto legislativo n. 50 del 2016</w:t>
      </w:r>
      <w:r>
        <w:rPr>
          <w:rFonts w:ascii="Garamond" w:hAnsi="Garamond" w:cs="Garamond"/>
          <w:bCs/>
        </w:rPr>
        <w:t>)</w:t>
      </w:r>
      <w:r w:rsidR="00BF6479">
        <w:rPr>
          <w:rFonts w:ascii="Garamond" w:hAnsi="Garamond" w:cs="Garamond"/>
          <w:bCs/>
        </w:rPr>
        <w:t xml:space="preserve"> e norme ivi richiamate;</w:t>
      </w:r>
    </w:p>
    <w:p w:rsidR="00F10DB1" w:rsidRPr="00F10DB1" w:rsidRDefault="00F10DB1" w:rsidP="007523AF">
      <w:pPr>
        <w:pStyle w:val="NormaleWeb"/>
        <w:jc w:val="both"/>
        <w:rPr>
          <w:rFonts w:ascii="Garamond" w:hAnsi="Garamond" w:cs="Garamond"/>
        </w:rPr>
      </w:pPr>
      <w:r w:rsidRPr="00F10DB1">
        <w:rPr>
          <w:rFonts w:ascii="Garamond" w:hAnsi="Garamond" w:cs="Garamond"/>
          <w:bCs/>
          <w:u w:val="single"/>
        </w:rPr>
        <w:t>D</w:t>
      </w:r>
      <w:r>
        <w:rPr>
          <w:rFonts w:ascii="Garamond" w:hAnsi="Garamond" w:cs="Garamond"/>
          <w:bCs/>
          <w:u w:val="single"/>
        </w:rPr>
        <w:t>.</w:t>
      </w:r>
      <w:r w:rsidRPr="00F10DB1">
        <w:rPr>
          <w:rFonts w:ascii="Garamond" w:hAnsi="Garamond" w:cs="Garamond"/>
          <w:bCs/>
          <w:u w:val="single"/>
        </w:rPr>
        <w:t>M</w:t>
      </w:r>
      <w:r>
        <w:rPr>
          <w:rFonts w:ascii="Garamond" w:hAnsi="Garamond" w:cs="Garamond"/>
          <w:bCs/>
          <w:u w:val="single"/>
        </w:rPr>
        <w:t>.</w:t>
      </w:r>
      <w:r w:rsidRPr="00F10DB1">
        <w:rPr>
          <w:rFonts w:ascii="Garamond" w:hAnsi="Garamond" w:cs="Garamond"/>
          <w:bCs/>
          <w:u w:val="single"/>
        </w:rPr>
        <w:t xml:space="preserve"> </w:t>
      </w:r>
      <w:r>
        <w:rPr>
          <w:rFonts w:ascii="Garamond" w:hAnsi="Garamond" w:cs="Garamond"/>
          <w:bCs/>
          <w:u w:val="single"/>
        </w:rPr>
        <w:t>A</w:t>
      </w:r>
      <w:r w:rsidRPr="00F10DB1">
        <w:rPr>
          <w:rFonts w:ascii="Garamond" w:hAnsi="Garamond" w:cs="Garamond"/>
          <w:bCs/>
          <w:u w:val="single"/>
        </w:rPr>
        <w:t>MBIENTE E TUTELA DEL TERRITORIO E DEL MARE 11 ottobre 2017</w:t>
      </w:r>
      <w:r w:rsidRPr="00F10DB1">
        <w:rPr>
          <w:rFonts w:ascii="Garamond" w:hAnsi="Garamond" w:cs="Garamond"/>
          <w:b/>
          <w:bCs/>
        </w:rPr>
        <w:t xml:space="preserve"> </w:t>
      </w:r>
      <w:r w:rsidRPr="00F10DB1">
        <w:rPr>
          <w:rFonts w:ascii="Garamond" w:hAnsi="Garamond" w:cs="Garamond"/>
          <w:bCs/>
        </w:rPr>
        <w:t>(in G.U. n. 259 del 6 novembre 2017; in vigore dal 7 novembre 2017) “</w:t>
      </w:r>
      <w:r w:rsidRPr="00F10DB1">
        <w:rPr>
          <w:rFonts w:ascii="Garamond" w:hAnsi="Garamond" w:cs="Garamond"/>
          <w:bCs/>
          <w:i/>
        </w:rPr>
        <w:t>Criteri ambientali minimi per l'affidamento di servizi di progettazione e lavori per la nuova costruzione, ristrutturazione e manutenzione di edifici pubblici.</w:t>
      </w:r>
      <w:r w:rsidRPr="00F10DB1">
        <w:rPr>
          <w:rFonts w:ascii="Garamond" w:hAnsi="Garamond" w:cs="Garamond"/>
          <w:bCs/>
        </w:rPr>
        <w:t>”</w:t>
      </w:r>
    </w:p>
    <w:p w:rsidR="00EB0337" w:rsidRDefault="00FE12F8" w:rsidP="007523AF">
      <w:pPr>
        <w:pStyle w:val="NormaleWeb"/>
        <w:jc w:val="both"/>
        <w:rPr>
          <w:rFonts w:ascii="Garamond" w:hAnsi="Garamond" w:cs="Garamond"/>
        </w:rPr>
      </w:pPr>
      <w:r w:rsidRPr="00EB0337">
        <w:rPr>
          <w:rFonts w:ascii="Garamond" w:hAnsi="Garamond" w:cs="Garamond"/>
          <w:u w:val="single"/>
        </w:rPr>
        <w:t>Linee Gui</w:t>
      </w:r>
      <w:r w:rsidR="007523AF" w:rsidRPr="00EB0337">
        <w:rPr>
          <w:rFonts w:ascii="Garamond" w:hAnsi="Garamond" w:cs="Garamond"/>
          <w:u w:val="single"/>
        </w:rPr>
        <w:t>da ANAC</w:t>
      </w:r>
      <w:r w:rsidR="007523AF">
        <w:rPr>
          <w:rFonts w:ascii="Garamond" w:hAnsi="Garamond" w:cs="Garamond"/>
        </w:rPr>
        <w:t xml:space="preserve"> </w:t>
      </w:r>
    </w:p>
    <w:p w:rsidR="00FE12F8" w:rsidRDefault="00EB0337" w:rsidP="007523AF">
      <w:pPr>
        <w:pStyle w:val="NormaleWeb"/>
        <w:jc w:val="both"/>
        <w:rPr>
          <w:rFonts w:ascii="Garamond" w:hAnsi="Garamond" w:cs="Garamond"/>
        </w:rPr>
      </w:pPr>
      <w:r>
        <w:rPr>
          <w:rFonts w:ascii="Garamond" w:hAnsi="Garamond" w:cs="Garamond"/>
        </w:rPr>
        <w:t xml:space="preserve">- </w:t>
      </w:r>
      <w:r w:rsidR="007523AF">
        <w:rPr>
          <w:rFonts w:ascii="Garamond" w:hAnsi="Garamond" w:cs="Garamond"/>
        </w:rPr>
        <w:t>n. 1/16 (+ documento di consultazione on line del 07/07/17 per l’aggiornamento delle LG 1/16) relative ai servizi attinenti all’architettura e all’ingegneria;</w:t>
      </w:r>
    </w:p>
    <w:p w:rsidR="007523AF" w:rsidRDefault="00EB0337" w:rsidP="007523AF">
      <w:pPr>
        <w:pStyle w:val="NormaleWeb"/>
        <w:jc w:val="both"/>
        <w:rPr>
          <w:rFonts w:ascii="Garamond" w:hAnsi="Garamond" w:cs="Garamond"/>
        </w:rPr>
      </w:pPr>
      <w:r>
        <w:rPr>
          <w:rFonts w:ascii="Garamond" w:hAnsi="Garamond" w:cs="Garamond"/>
        </w:rPr>
        <w:t>-</w:t>
      </w:r>
      <w:r w:rsidR="007523AF">
        <w:rPr>
          <w:rFonts w:ascii="Garamond" w:hAnsi="Garamond" w:cs="Garamond"/>
        </w:rPr>
        <w:t xml:space="preserve"> n. 2/16 su OEPV;</w:t>
      </w:r>
    </w:p>
    <w:p w:rsidR="00070E0E" w:rsidRDefault="00070E0E" w:rsidP="007523AF">
      <w:pPr>
        <w:pStyle w:val="NormaleWeb"/>
        <w:jc w:val="both"/>
        <w:rPr>
          <w:rFonts w:ascii="Garamond" w:hAnsi="Garamond" w:cs="Garamond"/>
        </w:rPr>
      </w:pPr>
      <w:r>
        <w:rPr>
          <w:rFonts w:ascii="Garamond" w:hAnsi="Garamond" w:cs="Garamond"/>
        </w:rPr>
        <w:t>- n. 4/16 (+ documento di consultazione on line del 08/09/17 per l’aggiornamento delle LG 4/16) dedicate agli affidamenti inferiori alle soglie di rilievo europeo</w:t>
      </w:r>
      <w:r w:rsidR="000D472D">
        <w:rPr>
          <w:rFonts w:ascii="Garamond" w:hAnsi="Garamond" w:cs="Garamond"/>
        </w:rPr>
        <w:t>)</w:t>
      </w:r>
      <w:r>
        <w:rPr>
          <w:rFonts w:ascii="Garamond" w:hAnsi="Garamond" w:cs="Garamond"/>
        </w:rPr>
        <w:t>;</w:t>
      </w:r>
    </w:p>
    <w:p w:rsidR="007523AF" w:rsidRDefault="00EB0337" w:rsidP="007523AF">
      <w:pPr>
        <w:pStyle w:val="NormaleWeb"/>
        <w:jc w:val="both"/>
        <w:rPr>
          <w:rFonts w:ascii="Garamond" w:hAnsi="Garamond" w:cs="Garamond"/>
        </w:rPr>
      </w:pPr>
      <w:r>
        <w:rPr>
          <w:rFonts w:ascii="Garamond" w:hAnsi="Garamond" w:cs="Garamond"/>
        </w:rPr>
        <w:t xml:space="preserve">- </w:t>
      </w:r>
      <w:r w:rsidR="007523AF">
        <w:rPr>
          <w:rFonts w:ascii="Garamond" w:hAnsi="Garamond" w:cs="Garamond"/>
        </w:rPr>
        <w:t>Bando tipo n. 1/17 relativo agli affidamenti di servizi e forniture nei settori ordinari sopra soglia.</w:t>
      </w:r>
    </w:p>
    <w:p w:rsidR="008E5CDA" w:rsidRDefault="008E5CDA" w:rsidP="007523AF">
      <w:pPr>
        <w:pStyle w:val="NormaleWeb"/>
        <w:jc w:val="both"/>
        <w:rPr>
          <w:rFonts w:ascii="Garamond" w:hAnsi="Garamond" w:cs="Garamond"/>
          <w:u w:val="single"/>
        </w:rPr>
      </w:pPr>
      <w:r w:rsidRPr="00EB0337">
        <w:rPr>
          <w:rFonts w:ascii="Garamond" w:hAnsi="Garamond" w:cs="Garamond"/>
          <w:u w:val="single"/>
        </w:rPr>
        <w:t>NORMATIVA TERREMOTO</w:t>
      </w:r>
    </w:p>
    <w:p w:rsidR="006C4214" w:rsidRDefault="00D03D08" w:rsidP="00D03D08">
      <w:pPr>
        <w:pStyle w:val="NormaleWeb"/>
        <w:jc w:val="both"/>
        <w:rPr>
          <w:rFonts w:ascii="Garamond" w:hAnsi="Garamond" w:cs="Garamond"/>
        </w:rPr>
      </w:pPr>
      <w:r w:rsidRPr="00D03D08">
        <w:rPr>
          <w:rFonts w:ascii="Garamond" w:hAnsi="Garamond" w:cs="Garamond"/>
        </w:rPr>
        <w:t xml:space="preserve">- </w:t>
      </w:r>
      <w:r w:rsidR="000D472D">
        <w:rPr>
          <w:rFonts w:ascii="Garamond" w:hAnsi="Garamond" w:cs="Garamond"/>
        </w:rPr>
        <w:t>DL</w:t>
      </w:r>
      <w:r w:rsidRPr="00D03D08">
        <w:rPr>
          <w:rFonts w:ascii="Garamond" w:hAnsi="Garamond" w:cs="Garamond"/>
        </w:rPr>
        <w:t xml:space="preserve"> 189/16</w:t>
      </w:r>
      <w:r w:rsidR="000D472D">
        <w:rPr>
          <w:rFonts w:ascii="Garamond" w:hAnsi="Garamond" w:cs="Garamond"/>
        </w:rPr>
        <w:t xml:space="preserve"> e</w:t>
      </w:r>
      <w:r w:rsidR="006C4214">
        <w:rPr>
          <w:rFonts w:ascii="Garamond" w:hAnsi="Garamond" w:cs="Garamond"/>
        </w:rPr>
        <w:t xml:space="preserve"> s.m.i.</w:t>
      </w:r>
    </w:p>
    <w:p w:rsidR="00D03D08" w:rsidRPr="00D03D08" w:rsidRDefault="006C4214" w:rsidP="00D03D08">
      <w:pPr>
        <w:pStyle w:val="NormaleWeb"/>
        <w:jc w:val="both"/>
        <w:rPr>
          <w:rFonts w:ascii="Garamond" w:hAnsi="Garamond" w:cs="Garamond"/>
        </w:rPr>
      </w:pPr>
      <w:r>
        <w:rPr>
          <w:rFonts w:ascii="Garamond" w:hAnsi="Garamond" w:cs="Garamond"/>
        </w:rPr>
        <w:t>-</w:t>
      </w:r>
      <w:r w:rsidR="000D472D">
        <w:rPr>
          <w:rFonts w:ascii="Garamond" w:hAnsi="Garamond" w:cs="Garamond"/>
        </w:rPr>
        <w:t xml:space="preserve"> Ordinanze del Commissario straordinario</w:t>
      </w:r>
      <w:r w:rsidR="00F10DB1">
        <w:rPr>
          <w:rFonts w:ascii="Garamond" w:hAnsi="Garamond" w:cs="Garamond"/>
        </w:rPr>
        <w:t>.</w:t>
      </w:r>
    </w:p>
    <w:p w:rsidR="004048CA" w:rsidRPr="00C36684" w:rsidRDefault="004048CA" w:rsidP="004048CA">
      <w:pPr>
        <w:pStyle w:val="NormaleWeb"/>
        <w:jc w:val="both"/>
        <w:rPr>
          <w:rFonts w:ascii="Garamond" w:hAnsi="Garamond" w:cs="Garamond"/>
          <w:b/>
        </w:rPr>
      </w:pPr>
      <w:r w:rsidRPr="00C36684">
        <w:rPr>
          <w:rFonts w:ascii="Garamond" w:hAnsi="Garamond" w:cs="Garamond"/>
          <w:b/>
        </w:rPr>
        <w:lastRenderedPageBreak/>
        <w:t xml:space="preserve">PRINCIPI GENERALI </w:t>
      </w:r>
      <w:r w:rsidR="00C36684">
        <w:rPr>
          <w:rFonts w:ascii="Garamond" w:hAnsi="Garamond" w:cs="Garamond"/>
          <w:b/>
        </w:rPr>
        <w:t xml:space="preserve">E REGOLE </w:t>
      </w:r>
      <w:r w:rsidR="00911CFE" w:rsidRPr="00C36684">
        <w:rPr>
          <w:rFonts w:ascii="Garamond" w:hAnsi="Garamond" w:cs="Garamond"/>
          <w:b/>
        </w:rPr>
        <w:t xml:space="preserve">COMUNI </w:t>
      </w:r>
      <w:r w:rsidR="00C36684">
        <w:rPr>
          <w:rFonts w:ascii="Garamond" w:hAnsi="Garamond" w:cs="Garamond"/>
          <w:b/>
        </w:rPr>
        <w:t xml:space="preserve">FONDAMENTALI </w:t>
      </w:r>
      <w:r w:rsidR="00B02932">
        <w:rPr>
          <w:rFonts w:ascii="Garamond" w:hAnsi="Garamond" w:cs="Garamond"/>
          <w:b/>
        </w:rPr>
        <w:t>AL</w:t>
      </w:r>
      <w:r w:rsidR="00C36684">
        <w:rPr>
          <w:rFonts w:ascii="Garamond" w:hAnsi="Garamond" w:cs="Garamond"/>
          <w:b/>
        </w:rPr>
        <w:t xml:space="preserve">LE DIVERSE PROCEDURE </w:t>
      </w:r>
      <w:r w:rsidR="00BC724D">
        <w:rPr>
          <w:rFonts w:ascii="Garamond" w:hAnsi="Garamond" w:cs="Garamond"/>
          <w:b/>
        </w:rPr>
        <w:t>DESUMIBILI DAL CODICE APPALTI E DALLA DISCIPLINA ATTUATIVA</w:t>
      </w:r>
    </w:p>
    <w:p w:rsidR="004048CA" w:rsidRPr="004048CA" w:rsidRDefault="00002CED" w:rsidP="004048CA">
      <w:pPr>
        <w:pStyle w:val="NormaleWeb"/>
        <w:jc w:val="both"/>
        <w:rPr>
          <w:rFonts w:ascii="Garamond" w:hAnsi="Garamond" w:cs="Garamond"/>
        </w:rPr>
      </w:pPr>
      <w:r w:rsidRPr="00AD4F08">
        <w:rPr>
          <w:rFonts w:ascii="Garamond" w:hAnsi="Garamond" w:cs="Garamond"/>
          <w:b/>
        </w:rPr>
        <w:t>(</w:t>
      </w:r>
      <w:r w:rsidR="00C36684" w:rsidRPr="00AD4F08">
        <w:rPr>
          <w:rFonts w:ascii="Garamond" w:hAnsi="Garamond" w:cs="Garamond"/>
          <w:b/>
        </w:rPr>
        <w:t>A)</w:t>
      </w:r>
      <w:r w:rsidR="00C36684">
        <w:rPr>
          <w:rFonts w:ascii="Garamond" w:hAnsi="Garamond" w:cs="Garamond"/>
        </w:rPr>
        <w:t xml:space="preserve"> </w:t>
      </w:r>
      <w:r w:rsidR="004048CA" w:rsidRPr="004048CA">
        <w:rPr>
          <w:rFonts w:ascii="Garamond" w:hAnsi="Garamond" w:cs="Garamond"/>
        </w:rPr>
        <w:t xml:space="preserve">Un </w:t>
      </w:r>
      <w:r w:rsidR="00C36684">
        <w:rPr>
          <w:rFonts w:ascii="Garamond" w:hAnsi="Garamond" w:cs="Garamond"/>
        </w:rPr>
        <w:t>primo principio</w:t>
      </w:r>
      <w:r w:rsidR="006E243E">
        <w:rPr>
          <w:rFonts w:ascii="Garamond" w:hAnsi="Garamond" w:cs="Garamond"/>
        </w:rPr>
        <w:t>, attualmente vigente,</w:t>
      </w:r>
      <w:r w:rsidR="00C36684">
        <w:rPr>
          <w:rFonts w:ascii="Garamond" w:hAnsi="Garamond" w:cs="Garamond"/>
        </w:rPr>
        <w:t xml:space="preserve"> che si ritiene fondamentale nella specifica materia </w:t>
      </w:r>
      <w:r w:rsidR="004048CA" w:rsidRPr="004048CA">
        <w:rPr>
          <w:rFonts w:ascii="Garamond" w:hAnsi="Garamond" w:cs="Garamond"/>
        </w:rPr>
        <w:t xml:space="preserve">è </w:t>
      </w:r>
      <w:r w:rsidR="00C36684">
        <w:rPr>
          <w:rFonts w:ascii="Garamond" w:hAnsi="Garamond" w:cs="Garamond"/>
        </w:rPr>
        <w:t xml:space="preserve">quello per cui </w:t>
      </w:r>
      <w:r w:rsidR="004048CA" w:rsidRPr="004048CA">
        <w:rPr>
          <w:rFonts w:ascii="Garamond" w:hAnsi="Garamond" w:cs="Garamond"/>
        </w:rPr>
        <w:t>la progettazione definitiva e quella esecutiva</w:t>
      </w:r>
      <w:r w:rsidR="00C36684">
        <w:rPr>
          <w:rFonts w:ascii="Garamond" w:hAnsi="Garamond" w:cs="Garamond"/>
        </w:rPr>
        <w:t xml:space="preserve"> debbano essere svolte</w:t>
      </w:r>
      <w:r w:rsidR="004048CA" w:rsidRPr="004048CA">
        <w:rPr>
          <w:rFonts w:ascii="Garamond" w:hAnsi="Garamond" w:cs="Garamond"/>
        </w:rPr>
        <w:t>, preferibilmente, dal medesimo soggetto, onde garantire omogeneità e coerenza al processo (art. 23, comma 12, codice)</w:t>
      </w:r>
      <w:r w:rsidR="00251468">
        <w:rPr>
          <w:rFonts w:ascii="Garamond" w:hAnsi="Garamond" w:cs="Garamond"/>
        </w:rPr>
        <w:t>. Il principio rileva, innanzitutto, quanto alla scelta dell’impostazione da dare alla o</w:t>
      </w:r>
      <w:r>
        <w:rPr>
          <w:rFonts w:ascii="Garamond" w:hAnsi="Garamond" w:cs="Garamond"/>
        </w:rPr>
        <w:t>,</w:t>
      </w:r>
      <w:r w:rsidR="00251468">
        <w:rPr>
          <w:rFonts w:ascii="Garamond" w:hAnsi="Garamond" w:cs="Garamond"/>
        </w:rPr>
        <w:t xml:space="preserve"> appunto</w:t>
      </w:r>
      <w:r>
        <w:rPr>
          <w:rFonts w:ascii="Garamond" w:hAnsi="Garamond" w:cs="Garamond"/>
        </w:rPr>
        <w:t>,</w:t>
      </w:r>
      <w:r w:rsidR="00251468">
        <w:rPr>
          <w:rFonts w:ascii="Garamond" w:hAnsi="Garamond" w:cs="Garamond"/>
        </w:rPr>
        <w:t xml:space="preserve"> alle </w:t>
      </w:r>
      <w:r>
        <w:rPr>
          <w:rFonts w:ascii="Garamond" w:hAnsi="Garamond" w:cs="Garamond"/>
        </w:rPr>
        <w:t xml:space="preserve">diverse </w:t>
      </w:r>
      <w:r w:rsidR="00251468">
        <w:rPr>
          <w:rFonts w:ascii="Garamond" w:hAnsi="Garamond" w:cs="Garamond"/>
        </w:rPr>
        <w:t>procedure selettive e, inoltre, rende</w:t>
      </w:r>
      <w:r w:rsidR="004048CA" w:rsidRPr="004048CA">
        <w:rPr>
          <w:rFonts w:ascii="Garamond" w:hAnsi="Garamond" w:cs="Garamond"/>
        </w:rPr>
        <w:t xml:space="preserve"> ammissibile la partecipazione alla gara per il servizio di progettazione definitiva ed esecutiva anche del progettista che ha redatto l’eventuale progetto di fattibilità tecnica e economica</w:t>
      </w:r>
      <w:r w:rsidR="00251468">
        <w:rPr>
          <w:rFonts w:ascii="Garamond" w:hAnsi="Garamond" w:cs="Garamond"/>
        </w:rPr>
        <w:t xml:space="preserve"> (è infatti </w:t>
      </w:r>
      <w:r>
        <w:rPr>
          <w:rFonts w:ascii="Garamond" w:hAnsi="Garamond" w:cs="Garamond"/>
        </w:rPr>
        <w:t xml:space="preserve">stato </w:t>
      </w:r>
      <w:r w:rsidR="004048CA" w:rsidRPr="004048CA">
        <w:rPr>
          <w:rFonts w:ascii="Garamond" w:hAnsi="Garamond" w:cs="Garamond"/>
        </w:rPr>
        <w:t>accentuato il criterio d</w:t>
      </w:r>
      <w:r>
        <w:rPr>
          <w:rFonts w:ascii="Garamond" w:hAnsi="Garamond" w:cs="Garamond"/>
        </w:rPr>
        <w:t>ella</w:t>
      </w:r>
      <w:r w:rsidR="004048CA" w:rsidRPr="004048CA">
        <w:rPr>
          <w:rFonts w:ascii="Garamond" w:hAnsi="Garamond" w:cs="Garamond"/>
        </w:rPr>
        <w:t xml:space="preserve"> continuità nello svolgimento delle varie fasi della progettazione, permanendo </w:t>
      </w:r>
      <w:r w:rsidR="00251468">
        <w:rPr>
          <w:rFonts w:ascii="Garamond" w:hAnsi="Garamond" w:cs="Garamond"/>
        </w:rPr>
        <w:t xml:space="preserve">limiti solo con riguardo all’affidamento </w:t>
      </w:r>
      <w:r>
        <w:rPr>
          <w:rFonts w:ascii="Garamond" w:hAnsi="Garamond" w:cs="Garamond"/>
        </w:rPr>
        <w:t>anche del</w:t>
      </w:r>
      <w:r w:rsidRPr="004048CA">
        <w:rPr>
          <w:rFonts w:ascii="Garamond" w:hAnsi="Garamond" w:cs="Garamond"/>
        </w:rPr>
        <w:t xml:space="preserve">l’appalto dei lavori </w:t>
      </w:r>
      <w:r>
        <w:rPr>
          <w:rFonts w:ascii="Garamond" w:hAnsi="Garamond" w:cs="Garamond"/>
        </w:rPr>
        <w:t>a</w:t>
      </w:r>
      <w:r w:rsidR="004048CA" w:rsidRPr="004048CA">
        <w:rPr>
          <w:rFonts w:ascii="Garamond" w:hAnsi="Garamond" w:cs="Garamond"/>
        </w:rPr>
        <w:t>gli incaric</w:t>
      </w:r>
      <w:r>
        <w:rPr>
          <w:rFonts w:ascii="Garamond" w:hAnsi="Garamond" w:cs="Garamond"/>
        </w:rPr>
        <w:t>ati</w:t>
      </w:r>
      <w:r w:rsidR="004048CA" w:rsidRPr="004048CA">
        <w:rPr>
          <w:rFonts w:ascii="Garamond" w:hAnsi="Garamond" w:cs="Garamond"/>
        </w:rPr>
        <w:t xml:space="preserve"> </w:t>
      </w:r>
      <w:r>
        <w:rPr>
          <w:rFonts w:ascii="Garamond" w:hAnsi="Garamond" w:cs="Garamond"/>
        </w:rPr>
        <w:t>della</w:t>
      </w:r>
      <w:r w:rsidR="004048CA" w:rsidRPr="004048CA">
        <w:rPr>
          <w:rFonts w:ascii="Garamond" w:hAnsi="Garamond" w:cs="Garamond"/>
        </w:rPr>
        <w:t xml:space="preserve"> progettazione </w:t>
      </w:r>
      <w:r w:rsidR="00251468">
        <w:rPr>
          <w:rFonts w:ascii="Garamond" w:hAnsi="Garamond" w:cs="Garamond"/>
        </w:rPr>
        <w:t xml:space="preserve">- </w:t>
      </w:r>
      <w:r w:rsidR="004048CA" w:rsidRPr="004048CA">
        <w:rPr>
          <w:rFonts w:ascii="Garamond" w:hAnsi="Garamond" w:cs="Garamond"/>
        </w:rPr>
        <w:t>art. 24 comma 7 codice</w:t>
      </w:r>
      <w:r w:rsidR="00590EF7">
        <w:rPr>
          <w:rFonts w:ascii="Garamond" w:hAnsi="Garamond" w:cs="Garamond"/>
        </w:rPr>
        <w:t xml:space="preserve"> -</w:t>
      </w:r>
      <w:r>
        <w:rPr>
          <w:rFonts w:ascii="Garamond" w:hAnsi="Garamond" w:cs="Garamond"/>
        </w:rPr>
        <w:t xml:space="preserve"> </w:t>
      </w:r>
      <w:r w:rsidR="00590EF7">
        <w:rPr>
          <w:rFonts w:ascii="Garamond" w:hAnsi="Garamond" w:cs="Garamond"/>
        </w:rPr>
        <w:t>vedi sotto punto E</w:t>
      </w:r>
      <w:r w:rsidR="004048CA" w:rsidRPr="004048CA">
        <w:rPr>
          <w:rFonts w:ascii="Garamond" w:hAnsi="Garamond" w:cs="Garamond"/>
        </w:rPr>
        <w:t>)</w:t>
      </w:r>
      <w:r>
        <w:rPr>
          <w:rFonts w:ascii="Garamond" w:hAnsi="Garamond" w:cs="Garamond"/>
        </w:rPr>
        <w:t xml:space="preserve">. </w:t>
      </w:r>
      <w:r w:rsidR="004048CA" w:rsidRPr="00AD4F08">
        <w:rPr>
          <w:rFonts w:ascii="Garamond" w:hAnsi="Garamond" w:cs="Garamond"/>
          <w:b/>
        </w:rPr>
        <w:t xml:space="preserve">In caso di motivate ragioni </w:t>
      </w:r>
      <w:r w:rsidRPr="00AD4F08">
        <w:rPr>
          <w:rFonts w:ascii="Garamond" w:hAnsi="Garamond" w:cs="Garamond"/>
          <w:b/>
        </w:rPr>
        <w:t xml:space="preserve">invece </w:t>
      </w:r>
      <w:r w:rsidR="004048CA" w:rsidRPr="00AD4F08">
        <w:rPr>
          <w:rFonts w:ascii="Garamond" w:hAnsi="Garamond" w:cs="Garamond"/>
          <w:b/>
        </w:rPr>
        <w:t xml:space="preserve">di affidamento disgiunto, il nuovo progettista deve accettare </w:t>
      </w:r>
      <w:r w:rsidRPr="00AD4F08">
        <w:rPr>
          <w:rFonts w:ascii="Garamond" w:hAnsi="Garamond" w:cs="Garamond"/>
          <w:b/>
        </w:rPr>
        <w:t xml:space="preserve">comunque </w:t>
      </w:r>
      <w:r w:rsidR="004048CA" w:rsidRPr="00AD4F08">
        <w:rPr>
          <w:rFonts w:ascii="Garamond" w:hAnsi="Garamond" w:cs="Garamond"/>
          <w:b/>
        </w:rPr>
        <w:t>l’attività progettuale svolta in precedenza</w:t>
      </w:r>
      <w:r>
        <w:rPr>
          <w:rFonts w:ascii="Garamond" w:hAnsi="Garamond" w:cs="Garamond"/>
        </w:rPr>
        <w:t xml:space="preserve"> (s</w:t>
      </w:r>
      <w:r w:rsidR="004048CA" w:rsidRPr="004048CA">
        <w:rPr>
          <w:rFonts w:ascii="Garamond" w:hAnsi="Garamond" w:cs="Garamond"/>
        </w:rPr>
        <w:t xml:space="preserve">e l’affidamento disgiunto riguarda la progettazione definitiva o esecutiva l’accettazione avviene previa validazione </w:t>
      </w:r>
      <w:r>
        <w:rPr>
          <w:rFonts w:ascii="Garamond" w:hAnsi="Garamond" w:cs="Garamond"/>
        </w:rPr>
        <w:t xml:space="preserve">- </w:t>
      </w:r>
      <w:r w:rsidR="004048CA" w:rsidRPr="004048CA">
        <w:rPr>
          <w:rFonts w:ascii="Garamond" w:hAnsi="Garamond" w:cs="Garamond"/>
        </w:rPr>
        <w:t>art. 23, comma 12, codice)</w:t>
      </w:r>
      <w:r>
        <w:rPr>
          <w:rFonts w:ascii="Garamond" w:hAnsi="Garamond" w:cs="Garamond"/>
        </w:rPr>
        <w:t xml:space="preserve"> ed</w:t>
      </w:r>
      <w:r w:rsidR="004048CA" w:rsidRPr="004048CA">
        <w:rPr>
          <w:rFonts w:ascii="Garamond" w:hAnsi="Garamond" w:cs="Garamond"/>
        </w:rPr>
        <w:t xml:space="preserve"> è da escludere la necessità della relazione geologica in sede esecutiva quando le soluzioni progettuali individuate in tale livello non comportino alcuna attività di tipo geologico rispetto a quelle indiv</w:t>
      </w:r>
      <w:r>
        <w:rPr>
          <w:rFonts w:ascii="Garamond" w:hAnsi="Garamond" w:cs="Garamond"/>
        </w:rPr>
        <w:t>iduate nel progetto definitivo.</w:t>
      </w:r>
    </w:p>
    <w:p w:rsidR="004048CA" w:rsidRDefault="00002CED" w:rsidP="00CB3942">
      <w:pPr>
        <w:pStyle w:val="NormaleWeb"/>
        <w:jc w:val="both"/>
        <w:rPr>
          <w:sz w:val="23"/>
          <w:szCs w:val="23"/>
        </w:rPr>
      </w:pPr>
      <w:r w:rsidRPr="00AD4F08">
        <w:rPr>
          <w:rFonts w:ascii="Garamond" w:hAnsi="Garamond" w:cs="Garamond"/>
          <w:b/>
        </w:rPr>
        <w:t>(B)</w:t>
      </w:r>
      <w:r>
        <w:rPr>
          <w:rFonts w:ascii="Garamond" w:hAnsi="Garamond" w:cs="Garamond"/>
        </w:rPr>
        <w:t xml:space="preserve"> </w:t>
      </w:r>
      <w:r w:rsidR="004048CA" w:rsidRPr="00CB3942">
        <w:rPr>
          <w:rFonts w:ascii="Garamond" w:hAnsi="Garamond" w:cs="Garamond"/>
        </w:rPr>
        <w:t xml:space="preserve">Dall’art. 31, comma 8, del codice si ricava </w:t>
      </w:r>
      <w:r>
        <w:rPr>
          <w:rFonts w:ascii="Garamond" w:hAnsi="Garamond" w:cs="Garamond"/>
        </w:rPr>
        <w:t xml:space="preserve">poi </w:t>
      </w:r>
      <w:r w:rsidR="004048CA" w:rsidRPr="00CB3942">
        <w:rPr>
          <w:rFonts w:ascii="Garamond" w:hAnsi="Garamond" w:cs="Garamond"/>
        </w:rPr>
        <w:t>che non è consentito il subappalto della relazione geologica, che non comprende</w:t>
      </w:r>
      <w:r w:rsidR="00CB3942">
        <w:rPr>
          <w:rFonts w:ascii="Garamond" w:hAnsi="Garamond" w:cs="Garamond"/>
        </w:rPr>
        <w:t xml:space="preserve"> però</w:t>
      </w:r>
      <w:r w:rsidR="004048CA" w:rsidRPr="00CB3942">
        <w:rPr>
          <w:rFonts w:ascii="Garamond" w:hAnsi="Garamond" w:cs="Garamond"/>
        </w:rPr>
        <w:t xml:space="preserve"> le prestazioni d’opera riguardanti le indagini geognostiche e prove geotecniche e le altre prestazioni specificamente indicate nella norma. Conseguentemente, la stazione appaltante deve assicurare: </w:t>
      </w:r>
      <w:r>
        <w:rPr>
          <w:rFonts w:ascii="Garamond" w:hAnsi="Garamond" w:cs="Garamond"/>
        </w:rPr>
        <w:t>(</w:t>
      </w:r>
      <w:r w:rsidR="004048CA" w:rsidRPr="00CB3942">
        <w:rPr>
          <w:rFonts w:ascii="Garamond" w:hAnsi="Garamond" w:cs="Garamond"/>
        </w:rPr>
        <w:t>a) l’instaurazione di un rapporto diretto con il geologo mediante l’avvio di una procedura finalizzata alla sua individuazione che preceda o accompagni l’avvio della procedura finalizzata all’individuazione</w:t>
      </w:r>
      <w:r>
        <w:rPr>
          <w:rFonts w:ascii="Garamond" w:hAnsi="Garamond" w:cs="Garamond"/>
        </w:rPr>
        <w:t xml:space="preserve"> degli altri progettisti</w:t>
      </w:r>
      <w:r w:rsidR="004048CA" w:rsidRPr="00CB3942">
        <w:rPr>
          <w:rFonts w:ascii="Garamond" w:hAnsi="Garamond" w:cs="Garamond"/>
        </w:rPr>
        <w:t xml:space="preserve"> ovvero </w:t>
      </w:r>
      <w:r>
        <w:rPr>
          <w:rFonts w:ascii="Garamond" w:hAnsi="Garamond" w:cs="Garamond"/>
        </w:rPr>
        <w:t>(</w:t>
      </w:r>
      <w:r w:rsidR="004048CA" w:rsidRPr="00CB3942">
        <w:rPr>
          <w:rFonts w:ascii="Garamond" w:hAnsi="Garamond" w:cs="Garamond"/>
        </w:rPr>
        <w:t xml:space="preserve">b) </w:t>
      </w:r>
      <w:r w:rsidR="004048CA" w:rsidRPr="00AD4F08">
        <w:rPr>
          <w:rFonts w:ascii="Garamond" w:hAnsi="Garamond" w:cs="Garamond"/>
          <w:b/>
        </w:rPr>
        <w:t>la presenza del geologo all’interno della più complessa struttura di progettazione</w:t>
      </w:r>
      <w:r w:rsidR="004048CA" w:rsidRPr="00CB3942">
        <w:rPr>
          <w:rFonts w:ascii="Garamond" w:hAnsi="Garamond" w:cs="Garamond"/>
        </w:rPr>
        <w:t>, quale componente di una associazione temporanea o associato di una associazione tra professionisti oppure quale socio/amministratore/direttore tecnico di una società di professionisti o di ingegneria che detenga con queste ultime un rapporto stabile di natura autonoma, subordinata o parasubordinata.</w:t>
      </w:r>
      <w:r w:rsidR="00CB3942">
        <w:rPr>
          <w:rFonts w:ascii="Garamond" w:hAnsi="Garamond" w:cs="Garamond"/>
        </w:rPr>
        <w:t xml:space="preserve"> </w:t>
      </w:r>
      <w:r w:rsidR="00CB3942">
        <w:rPr>
          <w:sz w:val="23"/>
          <w:szCs w:val="23"/>
        </w:rPr>
        <w:t xml:space="preserve">Vi è infatti </w:t>
      </w:r>
      <w:r w:rsidR="004048CA">
        <w:rPr>
          <w:sz w:val="23"/>
          <w:szCs w:val="23"/>
        </w:rPr>
        <w:t>la necessità di garantire la indispensabile presenza diretta del geologo in ogni livello della progettazione e di prevenire quindi eventuali subappalti indiretti della relazione geologica, oltre che dall’esigenza di rendere chiara la responsabilità che ricade in capo a tale progettista specialista</w:t>
      </w:r>
      <w:r w:rsidR="00CB3942">
        <w:rPr>
          <w:sz w:val="23"/>
          <w:szCs w:val="23"/>
        </w:rPr>
        <w:t>.</w:t>
      </w:r>
    </w:p>
    <w:p w:rsidR="00911CFE" w:rsidRPr="00911CFE" w:rsidRDefault="00002CED" w:rsidP="00911CFE">
      <w:pPr>
        <w:pStyle w:val="NormaleWeb"/>
        <w:jc w:val="both"/>
        <w:rPr>
          <w:rFonts w:ascii="Garamond" w:hAnsi="Garamond" w:cs="Garamond"/>
        </w:rPr>
      </w:pPr>
      <w:r w:rsidRPr="00AD4F08">
        <w:rPr>
          <w:rFonts w:ascii="Garamond" w:hAnsi="Garamond" w:cs="Garamond"/>
          <w:b/>
        </w:rPr>
        <w:t>(C)</w:t>
      </w:r>
      <w:r>
        <w:rPr>
          <w:rFonts w:ascii="Garamond" w:hAnsi="Garamond" w:cs="Garamond"/>
        </w:rPr>
        <w:t xml:space="preserve"> </w:t>
      </w:r>
      <w:r w:rsidR="00911CFE" w:rsidRPr="00911CFE">
        <w:rPr>
          <w:rFonts w:ascii="Garamond" w:hAnsi="Garamond" w:cs="Garamond"/>
        </w:rPr>
        <w:t xml:space="preserve">La </w:t>
      </w:r>
      <w:r w:rsidR="00911CFE" w:rsidRPr="00AD4F08">
        <w:rPr>
          <w:rFonts w:ascii="Garamond" w:hAnsi="Garamond" w:cs="Garamond"/>
          <w:b/>
        </w:rPr>
        <w:t>“consulenza” di ausilio alla progettazione</w:t>
      </w:r>
      <w:r w:rsidR="00911CFE" w:rsidRPr="00911CFE">
        <w:rPr>
          <w:rFonts w:ascii="Garamond" w:hAnsi="Garamond" w:cs="Garamond"/>
        </w:rPr>
        <w:t xml:space="preserve"> di opere pubbliche continua a non essere contemplata anche nel nuovo quadro normativo; ciò discende dal principio generale in base al quale la responsabilità della progettazione deve potersi ricondurre ad un unico centro dec</w:t>
      </w:r>
      <w:r w:rsidR="00911CFE">
        <w:rPr>
          <w:rFonts w:ascii="Garamond" w:hAnsi="Garamond" w:cs="Garamond"/>
        </w:rPr>
        <w:t>isionale, ossia il progettista. I</w:t>
      </w:r>
      <w:r w:rsidR="00911CFE" w:rsidRPr="00911CFE">
        <w:rPr>
          <w:rFonts w:ascii="Garamond" w:hAnsi="Garamond" w:cs="Garamond"/>
        </w:rPr>
        <w:t xml:space="preserve">n materia di progettazione, al RUP è demandato il compito di coordinare le attività necessarie alla redazione del progetto di fattibilità tecnica ed economica, definitivo ed esecutivo. </w:t>
      </w:r>
      <w:r w:rsidR="00911CFE">
        <w:rPr>
          <w:rFonts w:ascii="Garamond" w:hAnsi="Garamond" w:cs="Garamond"/>
        </w:rPr>
        <w:t>G</w:t>
      </w:r>
      <w:r w:rsidR="00911CFE" w:rsidRPr="00911CFE">
        <w:rPr>
          <w:rFonts w:ascii="Garamond" w:hAnsi="Garamond" w:cs="Garamond"/>
        </w:rPr>
        <w:t>li eventuali soggetti esterni individuati possono supportare il RUP nelle sue attività di coordinamento e vigilanza sulla progettazione, fermo rimanendo che la progettazione è compito di esclusiva competenza del progettista.</w:t>
      </w:r>
    </w:p>
    <w:p w:rsidR="00CB3942" w:rsidRPr="00CB3942" w:rsidRDefault="007F548B" w:rsidP="00E208EE">
      <w:pPr>
        <w:pStyle w:val="NormaleWeb"/>
        <w:jc w:val="both"/>
        <w:rPr>
          <w:rFonts w:ascii="Garamond" w:hAnsi="Garamond" w:cs="Garamond"/>
        </w:rPr>
      </w:pPr>
      <w:r w:rsidRPr="00AD4F08">
        <w:rPr>
          <w:rFonts w:ascii="Garamond" w:hAnsi="Garamond" w:cs="Garamond"/>
          <w:b/>
        </w:rPr>
        <w:t>(D)</w:t>
      </w:r>
      <w:r>
        <w:rPr>
          <w:rFonts w:ascii="Garamond" w:hAnsi="Garamond" w:cs="Garamond"/>
        </w:rPr>
        <w:t xml:space="preserve"> </w:t>
      </w:r>
      <w:r w:rsidR="00CB3942">
        <w:rPr>
          <w:rFonts w:ascii="Garamond" w:hAnsi="Garamond" w:cs="Garamond"/>
        </w:rPr>
        <w:t>L</w:t>
      </w:r>
      <w:r w:rsidR="00CB3942" w:rsidRPr="00CB3942">
        <w:rPr>
          <w:rFonts w:ascii="Garamond" w:hAnsi="Garamond" w:cs="Garamond"/>
        </w:rPr>
        <w:t xml:space="preserve">a stazione appaltante può chiedere soltanto la prestazione di una copertura assicurativa per la responsabilità civile professionale, per i rischi derivanti dallo svolgimento delle attività di competenza </w:t>
      </w:r>
      <w:r w:rsidR="00590EF7">
        <w:rPr>
          <w:rFonts w:ascii="Garamond" w:hAnsi="Garamond" w:cs="Garamond"/>
        </w:rPr>
        <w:t xml:space="preserve">del professionista(i), </w:t>
      </w:r>
      <w:r w:rsidR="00CB3942" w:rsidRPr="00CB3942">
        <w:rPr>
          <w:rFonts w:ascii="Garamond" w:hAnsi="Garamond" w:cs="Garamond"/>
        </w:rPr>
        <w:t xml:space="preserve">ma non anche la c.d. </w:t>
      </w:r>
      <w:r w:rsidR="00CB3942" w:rsidRPr="00AD4F08">
        <w:rPr>
          <w:rFonts w:ascii="Garamond" w:hAnsi="Garamond" w:cs="Garamond"/>
          <w:b/>
        </w:rPr>
        <w:t>cauzione provvisoria</w:t>
      </w:r>
      <w:r w:rsidR="00CB3942" w:rsidRPr="00CB3942">
        <w:rPr>
          <w:rFonts w:ascii="Garamond" w:hAnsi="Garamond" w:cs="Garamond"/>
        </w:rPr>
        <w:t xml:space="preserve"> per i concorrenti agli incarichi di progettazione, redazione del piano di sicurezza e coordinamento e dei compiti di supporto al RUP (art. 93, comma 10, codice). </w:t>
      </w:r>
      <w:r w:rsidR="00E208EE">
        <w:rPr>
          <w:rFonts w:ascii="Garamond" w:hAnsi="Garamond" w:cs="Garamond"/>
        </w:rPr>
        <w:t>Sempre l’art. 93 comma 1 stabilisce che comunque: “</w:t>
      </w:r>
      <w:r w:rsidR="00E208EE" w:rsidRPr="00E208EE">
        <w:rPr>
          <w:rFonts w:ascii="Garamond" w:hAnsi="Garamond" w:cs="Garamond"/>
          <w:i/>
        </w:rPr>
        <w:t>Nei casi di cui all’articolo 36, comma 2, lettera a), è facoltà della stazione appaltante non richiedere le garanzie di cui al presente articolo</w:t>
      </w:r>
      <w:r w:rsidR="00E208EE">
        <w:rPr>
          <w:rFonts w:ascii="Garamond" w:hAnsi="Garamond" w:cs="Garamond"/>
        </w:rPr>
        <w:t>” (affidamenti inferiori a 40.000 euro)</w:t>
      </w:r>
      <w:r w:rsidR="00E208EE" w:rsidRPr="00E208EE">
        <w:rPr>
          <w:rFonts w:ascii="Garamond" w:hAnsi="Garamond" w:cs="Garamond"/>
        </w:rPr>
        <w:t>.</w:t>
      </w:r>
      <w:r w:rsidR="00E208EE">
        <w:rPr>
          <w:rFonts w:ascii="Garamond" w:hAnsi="Garamond" w:cs="Garamond"/>
        </w:rPr>
        <w:t xml:space="preserve"> </w:t>
      </w:r>
      <w:r w:rsidR="00E208EE" w:rsidRPr="00AD4F08">
        <w:rPr>
          <w:rFonts w:ascii="Garamond" w:hAnsi="Garamond" w:cs="Garamond"/>
          <w:b/>
        </w:rPr>
        <w:t>La</w:t>
      </w:r>
      <w:r w:rsidR="00CB3942" w:rsidRPr="00AD4F08">
        <w:rPr>
          <w:rFonts w:ascii="Garamond" w:hAnsi="Garamond" w:cs="Garamond"/>
          <w:b/>
        </w:rPr>
        <w:t xml:space="preserve"> polizza di responsabilità civile professionale del progettista esterno deve coprire i rischi derivanti anche da errori o omissioni nella redazione del progetto esecutivo o definitivo che abbiano determinato a carico della stazione appaltante nuove spese di progettazione e/o maggiori costi</w:t>
      </w:r>
      <w:r w:rsidR="00CB3942" w:rsidRPr="00CB3942">
        <w:rPr>
          <w:rFonts w:ascii="Garamond" w:hAnsi="Garamond" w:cs="Garamond"/>
        </w:rPr>
        <w:t xml:space="preserve">. I </w:t>
      </w:r>
      <w:r w:rsidR="00590EF7">
        <w:rPr>
          <w:rFonts w:ascii="Garamond" w:hAnsi="Garamond" w:cs="Garamond"/>
        </w:rPr>
        <w:t>medesimi s</w:t>
      </w:r>
      <w:r w:rsidR="00CB3942" w:rsidRPr="00CB3942">
        <w:rPr>
          <w:rFonts w:ascii="Garamond" w:hAnsi="Garamond" w:cs="Garamond"/>
        </w:rPr>
        <w:t xml:space="preserve">oggetti sopra indicati non sono esentati </w:t>
      </w:r>
      <w:r w:rsidR="00590EF7">
        <w:rPr>
          <w:rFonts w:ascii="Garamond" w:hAnsi="Garamond" w:cs="Garamond"/>
        </w:rPr>
        <w:t xml:space="preserve">invece </w:t>
      </w:r>
      <w:r w:rsidR="00CB3942" w:rsidRPr="00CB3942">
        <w:rPr>
          <w:rFonts w:ascii="Garamond" w:hAnsi="Garamond" w:cs="Garamond"/>
        </w:rPr>
        <w:t xml:space="preserve">dall’obbligo di presentazione della cauzione definitiva. </w:t>
      </w:r>
    </w:p>
    <w:p w:rsidR="00E208EE" w:rsidRPr="00E208EE" w:rsidRDefault="00590EF7" w:rsidP="00E208EE">
      <w:pPr>
        <w:pStyle w:val="NormaleWeb"/>
        <w:jc w:val="both"/>
        <w:rPr>
          <w:rFonts w:ascii="Garamond" w:hAnsi="Garamond" w:cs="Garamond"/>
        </w:rPr>
      </w:pPr>
      <w:r w:rsidRPr="00AD4F08">
        <w:rPr>
          <w:rFonts w:ascii="Garamond" w:hAnsi="Garamond" w:cs="Garamond"/>
          <w:b/>
        </w:rPr>
        <w:t>(E)</w:t>
      </w:r>
      <w:r>
        <w:rPr>
          <w:rFonts w:ascii="Garamond" w:hAnsi="Garamond" w:cs="Garamond"/>
        </w:rPr>
        <w:t xml:space="preserve"> </w:t>
      </w:r>
      <w:r w:rsidR="00E208EE">
        <w:rPr>
          <w:rFonts w:ascii="Garamond" w:hAnsi="Garamond" w:cs="Garamond"/>
        </w:rPr>
        <w:t xml:space="preserve">Dopo il correttivo, oltre alle altre eccezioni espresse, è ora previsto il parziale superamento, anche per i settori ordinari, del divieto di </w:t>
      </w:r>
      <w:r w:rsidR="00E208EE" w:rsidRPr="00E208EE">
        <w:rPr>
          <w:rFonts w:ascii="Garamond" w:hAnsi="Garamond" w:cs="Garamond"/>
        </w:rPr>
        <w:t>affidamento congiunto della progettazione esecutiva e dell’esecuzione dei lavori</w:t>
      </w:r>
      <w:r w:rsidR="00E208EE">
        <w:rPr>
          <w:rFonts w:ascii="Garamond" w:hAnsi="Garamond" w:cs="Garamond"/>
        </w:rPr>
        <w:t>:</w:t>
      </w:r>
      <w:r w:rsidR="00E208EE" w:rsidRPr="00E208EE">
        <w:rPr>
          <w:rFonts w:ascii="Garamond" w:hAnsi="Garamond" w:cs="Garamond"/>
        </w:rPr>
        <w:t xml:space="preserve"> è </w:t>
      </w:r>
      <w:r w:rsidR="00E208EE">
        <w:rPr>
          <w:rFonts w:ascii="Garamond" w:hAnsi="Garamond" w:cs="Garamond"/>
        </w:rPr>
        <w:t xml:space="preserve">consentito anche </w:t>
      </w:r>
      <w:r w:rsidR="00E208EE" w:rsidRPr="00E208EE">
        <w:rPr>
          <w:rFonts w:ascii="Garamond" w:hAnsi="Garamond" w:cs="Garamond"/>
        </w:rPr>
        <w:t>nei casi di appalto relativo ad opere per le quali l’elemento tecnologico o innovativo sia nettamente prevalente, ossia per le opere ove l’importo economico della componente tecnologica o innovativa sia preminente rispetto all’importo complessivo dei lavori. In tal caso, nel</w:t>
      </w:r>
      <w:r>
        <w:rPr>
          <w:rFonts w:ascii="Garamond" w:hAnsi="Garamond" w:cs="Garamond"/>
        </w:rPr>
        <w:t xml:space="preserve"> decreto/</w:t>
      </w:r>
      <w:r w:rsidR="00E208EE" w:rsidRPr="00E208EE">
        <w:rPr>
          <w:rFonts w:ascii="Garamond" w:hAnsi="Garamond" w:cs="Garamond"/>
        </w:rPr>
        <w:t>determina a contrarre è indicata la motivazione alla base della scelta della procedura, in modo puntuale</w:t>
      </w:r>
      <w:r>
        <w:rPr>
          <w:rFonts w:ascii="Garamond" w:hAnsi="Garamond" w:cs="Garamond"/>
        </w:rPr>
        <w:t>, con riguardo a</w:t>
      </w:r>
      <w:r w:rsidR="00E208EE" w:rsidRPr="00E208EE">
        <w:rPr>
          <w:rFonts w:ascii="Garamond" w:hAnsi="Garamond" w:cs="Garamond"/>
        </w:rPr>
        <w:t xml:space="preserve">lla rilevanza dei presupposti tecnici e oggettivi, nonché </w:t>
      </w:r>
      <w:r>
        <w:rPr>
          <w:rFonts w:ascii="Garamond" w:hAnsi="Garamond" w:cs="Garamond"/>
        </w:rPr>
        <w:t>al</w:t>
      </w:r>
      <w:r w:rsidR="00E208EE" w:rsidRPr="00E208EE">
        <w:rPr>
          <w:rFonts w:ascii="Garamond" w:hAnsi="Garamond" w:cs="Garamond"/>
        </w:rPr>
        <w:t>l’effettiva incidenza sui tempi di realizzazione delle opere dell’</w:t>
      </w:r>
      <w:r>
        <w:rPr>
          <w:rFonts w:ascii="Garamond" w:hAnsi="Garamond" w:cs="Garamond"/>
        </w:rPr>
        <w:t xml:space="preserve">eventuale </w:t>
      </w:r>
      <w:r w:rsidR="00E208EE" w:rsidRPr="00E208EE">
        <w:rPr>
          <w:rFonts w:ascii="Garamond" w:hAnsi="Garamond" w:cs="Garamond"/>
        </w:rPr>
        <w:t>affidamento separato di lavori e progettazione (art.59, comma 1-bis, codice)</w:t>
      </w:r>
      <w:r>
        <w:rPr>
          <w:rFonts w:ascii="Garamond" w:hAnsi="Garamond" w:cs="Garamond"/>
        </w:rPr>
        <w:t>.</w:t>
      </w:r>
    </w:p>
    <w:p w:rsidR="00E208EE" w:rsidRPr="00E208EE" w:rsidRDefault="00590EF7" w:rsidP="00E208EE">
      <w:pPr>
        <w:pStyle w:val="NormaleWeb"/>
        <w:jc w:val="both"/>
        <w:rPr>
          <w:rFonts w:ascii="Garamond" w:hAnsi="Garamond" w:cs="Garamond"/>
        </w:rPr>
      </w:pPr>
      <w:r w:rsidRPr="00AD4F08">
        <w:rPr>
          <w:rFonts w:ascii="Garamond" w:hAnsi="Garamond" w:cs="Garamond"/>
          <w:b/>
        </w:rPr>
        <w:t>(F)</w:t>
      </w:r>
      <w:r>
        <w:rPr>
          <w:rFonts w:ascii="Garamond" w:hAnsi="Garamond" w:cs="Garamond"/>
        </w:rPr>
        <w:t xml:space="preserve"> Prima dell’avvio della procedura di selezione, </w:t>
      </w:r>
      <w:r w:rsidR="00E208EE" w:rsidRPr="00E208EE">
        <w:rPr>
          <w:rFonts w:ascii="Garamond" w:hAnsi="Garamond" w:cs="Garamond"/>
        </w:rPr>
        <w:t xml:space="preserve">deve essere valutato </w:t>
      </w:r>
      <w:r>
        <w:rPr>
          <w:rFonts w:ascii="Garamond" w:hAnsi="Garamond" w:cs="Garamond"/>
        </w:rPr>
        <w:t xml:space="preserve">innanzitutto </w:t>
      </w:r>
      <w:r w:rsidR="00E208EE" w:rsidRPr="00E208EE">
        <w:rPr>
          <w:rFonts w:ascii="Garamond" w:hAnsi="Garamond" w:cs="Garamond"/>
        </w:rPr>
        <w:t>dalla stazione appaltante se i servizi presentano o meno le caratteristiche indicate dall’art. 23, comma 2</w:t>
      </w:r>
      <w:r>
        <w:rPr>
          <w:rFonts w:ascii="Garamond" w:hAnsi="Garamond" w:cs="Garamond"/>
        </w:rPr>
        <w:t>,</w:t>
      </w:r>
      <w:r w:rsidR="00E208EE" w:rsidRPr="00E208EE">
        <w:rPr>
          <w:rFonts w:ascii="Garamond" w:hAnsi="Garamond" w:cs="Garamond"/>
        </w:rPr>
        <w:t xml:space="preserve"> del codice (</w:t>
      </w:r>
      <w:r w:rsidR="00E208EE" w:rsidRPr="00590EF7">
        <w:rPr>
          <w:rFonts w:ascii="Garamond" w:hAnsi="Garamond" w:cs="Garamond"/>
          <w:i/>
        </w:rPr>
        <w:t>lavori di particolare rilevanza sotto il profilo architettonico, ambientale, paesaggistico, agronomico e forestale, storico-artistico, conservativo, nonché tecnologico</w:t>
      </w:r>
      <w:r w:rsidR="00E208EE">
        <w:rPr>
          <w:rFonts w:ascii="Garamond" w:hAnsi="Garamond" w:cs="Garamond"/>
        </w:rPr>
        <w:t>) e in tal caso e qualora concorra l’</w:t>
      </w:r>
      <w:r w:rsidR="00E208EE" w:rsidRPr="00E208EE">
        <w:rPr>
          <w:rFonts w:ascii="Garamond" w:hAnsi="Garamond" w:cs="Garamond"/>
        </w:rPr>
        <w:t>assenza di idonee professionalità</w:t>
      </w:r>
      <w:r>
        <w:rPr>
          <w:rFonts w:ascii="Garamond" w:hAnsi="Garamond" w:cs="Garamond"/>
        </w:rPr>
        <w:t>,</w:t>
      </w:r>
      <w:r w:rsidR="00E208EE" w:rsidRPr="00E208EE">
        <w:rPr>
          <w:rFonts w:ascii="Garamond" w:hAnsi="Garamond" w:cs="Garamond"/>
        </w:rPr>
        <w:t xml:space="preserve"> dovrà essere utilizzata </w:t>
      </w:r>
      <w:r w:rsidR="00E208EE" w:rsidRPr="00AD4F08">
        <w:rPr>
          <w:rFonts w:ascii="Garamond" w:hAnsi="Garamond" w:cs="Garamond"/>
          <w:b/>
        </w:rPr>
        <w:t>la procedura del concorso di progettazione o del concorso di idee</w:t>
      </w:r>
      <w:r>
        <w:rPr>
          <w:rFonts w:ascii="Garamond" w:hAnsi="Garamond" w:cs="Garamond"/>
        </w:rPr>
        <w:t xml:space="preserve"> (</w:t>
      </w:r>
      <w:r w:rsidR="00E208EE" w:rsidRPr="00E208EE">
        <w:rPr>
          <w:rFonts w:ascii="Garamond" w:hAnsi="Garamond" w:cs="Garamond"/>
        </w:rPr>
        <w:t xml:space="preserve">per la partecipazione al quale i requisiti di qualificazione devono consentire l’accesso ai piccoli e medi operatori economici dell'area tecnica e ai giovani professionisti </w:t>
      </w:r>
      <w:r>
        <w:rPr>
          <w:rFonts w:ascii="Garamond" w:hAnsi="Garamond" w:cs="Garamond"/>
        </w:rPr>
        <w:t xml:space="preserve">- </w:t>
      </w:r>
      <w:r w:rsidR="00E208EE" w:rsidRPr="00E208EE">
        <w:rPr>
          <w:rFonts w:ascii="Garamond" w:hAnsi="Garamond" w:cs="Garamond"/>
        </w:rPr>
        <w:t>art. 154, comma 3, codice)</w:t>
      </w:r>
      <w:r>
        <w:rPr>
          <w:rFonts w:ascii="Garamond" w:hAnsi="Garamond" w:cs="Garamond"/>
        </w:rPr>
        <w:t>.</w:t>
      </w:r>
    </w:p>
    <w:p w:rsidR="00A00DC2" w:rsidRDefault="00590EF7" w:rsidP="00911CFE">
      <w:pPr>
        <w:pStyle w:val="NormaleWeb"/>
        <w:spacing w:after="0" w:afterAutospacing="0"/>
        <w:jc w:val="both"/>
        <w:rPr>
          <w:rFonts w:ascii="Garamond" w:hAnsi="Garamond" w:cs="Garamond"/>
        </w:rPr>
      </w:pPr>
      <w:r w:rsidRPr="00AD4F08">
        <w:rPr>
          <w:rFonts w:ascii="Garamond" w:hAnsi="Garamond" w:cs="Garamond"/>
          <w:b/>
        </w:rPr>
        <w:t>(G)</w:t>
      </w:r>
      <w:r>
        <w:rPr>
          <w:rFonts w:ascii="Garamond" w:hAnsi="Garamond" w:cs="Garamond"/>
        </w:rPr>
        <w:t xml:space="preserve"> </w:t>
      </w:r>
      <w:r w:rsidR="00A00DC2">
        <w:rPr>
          <w:rFonts w:ascii="Garamond" w:hAnsi="Garamond" w:cs="Garamond"/>
        </w:rPr>
        <w:t>P</w:t>
      </w:r>
      <w:r w:rsidR="00E208EE" w:rsidRPr="00E208EE">
        <w:rPr>
          <w:rFonts w:ascii="Garamond" w:hAnsi="Garamond" w:cs="Garamond"/>
        </w:rPr>
        <w:t xml:space="preserve">er gli incarichi e i servizi di progettazione, come definito dall’art. 157 del codice, relativi a lavori che </w:t>
      </w:r>
      <w:r>
        <w:rPr>
          <w:rFonts w:ascii="Garamond" w:hAnsi="Garamond" w:cs="Garamond"/>
        </w:rPr>
        <w:t xml:space="preserve">invece </w:t>
      </w:r>
      <w:r w:rsidR="00E208EE" w:rsidRPr="00E208EE">
        <w:rPr>
          <w:rFonts w:ascii="Garamond" w:hAnsi="Garamond" w:cs="Garamond"/>
        </w:rPr>
        <w:t xml:space="preserve">non rientrano tra quelli di cui </w:t>
      </w:r>
      <w:r>
        <w:rPr>
          <w:rFonts w:ascii="Garamond" w:hAnsi="Garamond" w:cs="Garamond"/>
        </w:rPr>
        <w:t>la precedente punto (F)</w:t>
      </w:r>
      <w:r w:rsidR="00A00DC2">
        <w:rPr>
          <w:rFonts w:ascii="Garamond" w:hAnsi="Garamond" w:cs="Garamond"/>
        </w:rPr>
        <w:t>, occorre</w:t>
      </w:r>
      <w:r>
        <w:rPr>
          <w:rFonts w:ascii="Garamond" w:hAnsi="Garamond" w:cs="Garamond"/>
        </w:rPr>
        <w:t xml:space="preserve"> essenzialmente</w:t>
      </w:r>
      <w:r w:rsidR="00911CFE">
        <w:rPr>
          <w:rFonts w:ascii="Garamond" w:hAnsi="Garamond" w:cs="Garamond"/>
        </w:rPr>
        <w:t>:</w:t>
      </w:r>
    </w:p>
    <w:p w:rsidR="00E208EE" w:rsidRPr="00E208EE" w:rsidRDefault="00A00DC2" w:rsidP="00911CFE">
      <w:pPr>
        <w:pStyle w:val="NormaleWeb"/>
        <w:spacing w:after="0" w:afterAutospacing="0"/>
        <w:jc w:val="both"/>
        <w:rPr>
          <w:rFonts w:ascii="Garamond" w:hAnsi="Garamond" w:cs="Garamond"/>
        </w:rPr>
      </w:pPr>
      <w:r>
        <w:rPr>
          <w:rFonts w:ascii="Garamond" w:hAnsi="Garamond" w:cs="Garamond"/>
        </w:rPr>
        <w:t xml:space="preserve">1. stabilire </w:t>
      </w:r>
      <w:r w:rsidR="00E208EE" w:rsidRPr="00E208EE">
        <w:rPr>
          <w:rFonts w:ascii="Garamond" w:hAnsi="Garamond" w:cs="Garamond"/>
        </w:rPr>
        <w:t>la classe/i e la categoria/e di appartenenza dei servizi da affidare</w:t>
      </w:r>
      <w:r w:rsidR="00E768B1">
        <w:rPr>
          <w:rFonts w:ascii="Garamond" w:hAnsi="Garamond" w:cs="Garamond"/>
        </w:rPr>
        <w:t xml:space="preserve"> (</w:t>
      </w:r>
      <w:r w:rsidR="00E768B1" w:rsidRPr="00E768B1">
        <w:rPr>
          <w:rFonts w:ascii="Garamond" w:hAnsi="Garamond" w:cs="Garamond"/>
        </w:rPr>
        <w:t xml:space="preserve">si debbono identificare le opere cui appartengono gli interventi oggetto dell’incarico, secondo quanto riportato nella tabella Z-1 del citato D.M. </w:t>
      </w:r>
      <w:r w:rsidR="00911CFE">
        <w:rPr>
          <w:rFonts w:ascii="Garamond" w:hAnsi="Garamond" w:cs="Garamond"/>
        </w:rPr>
        <w:t>G</w:t>
      </w:r>
      <w:r w:rsidR="00911CFE" w:rsidRPr="00A00DC2">
        <w:rPr>
          <w:rFonts w:ascii="Garamond" w:hAnsi="Garamond" w:cs="Garamond"/>
        </w:rPr>
        <w:t xml:space="preserve">iustizia </w:t>
      </w:r>
      <w:r w:rsidR="00E768B1" w:rsidRPr="00E768B1">
        <w:rPr>
          <w:rFonts w:ascii="Garamond" w:hAnsi="Garamond" w:cs="Garamond"/>
        </w:rPr>
        <w:t>17 giugno 2016 e le corrispondenti classi e categorie di cui alle precedenti disposizioni tariffarie</w:t>
      </w:r>
      <w:r w:rsidR="00E768B1">
        <w:rPr>
          <w:rFonts w:ascii="Garamond" w:hAnsi="Garamond" w:cs="Garamond"/>
        </w:rPr>
        <w:t>)</w:t>
      </w:r>
      <w:r>
        <w:rPr>
          <w:rFonts w:ascii="Garamond" w:hAnsi="Garamond" w:cs="Garamond"/>
        </w:rPr>
        <w:t>;</w:t>
      </w:r>
    </w:p>
    <w:p w:rsidR="00E208EE" w:rsidRPr="00E208EE" w:rsidRDefault="00A00DC2" w:rsidP="00911CFE">
      <w:pPr>
        <w:pStyle w:val="NormaleWeb"/>
        <w:spacing w:after="0" w:afterAutospacing="0"/>
        <w:jc w:val="both"/>
        <w:rPr>
          <w:rFonts w:ascii="Garamond" w:hAnsi="Garamond" w:cs="Garamond"/>
        </w:rPr>
      </w:pPr>
      <w:r>
        <w:rPr>
          <w:rFonts w:ascii="Garamond" w:hAnsi="Garamond" w:cs="Garamond"/>
        </w:rPr>
        <w:t>2</w:t>
      </w:r>
      <w:r w:rsidR="00E208EE" w:rsidRPr="00E208EE">
        <w:rPr>
          <w:rFonts w:ascii="Garamond" w:hAnsi="Garamond" w:cs="Garamond"/>
        </w:rPr>
        <w:t xml:space="preserve">. </w:t>
      </w:r>
      <w:r w:rsidR="00590EF7">
        <w:rPr>
          <w:rFonts w:ascii="Garamond" w:hAnsi="Garamond" w:cs="Garamond"/>
        </w:rPr>
        <w:t>determinare i</w:t>
      </w:r>
      <w:r w:rsidR="00E208EE" w:rsidRPr="00E208EE">
        <w:rPr>
          <w:rFonts w:ascii="Garamond" w:hAnsi="Garamond" w:cs="Garamond"/>
        </w:rPr>
        <w:t>l corrispettivo da porre a base di gara</w:t>
      </w:r>
      <w:r>
        <w:rPr>
          <w:rFonts w:ascii="Garamond" w:hAnsi="Garamond" w:cs="Garamond"/>
        </w:rPr>
        <w:t xml:space="preserve"> (per</w:t>
      </w:r>
      <w:r w:rsidRPr="00A00DC2">
        <w:rPr>
          <w:rFonts w:ascii="Garamond" w:hAnsi="Garamond" w:cs="Garamond"/>
        </w:rPr>
        <w:t xml:space="preserve"> trasparenza e correttezza è obbligatorio </w:t>
      </w:r>
      <w:r w:rsidRPr="00AD4F08">
        <w:rPr>
          <w:rFonts w:ascii="Garamond" w:hAnsi="Garamond" w:cs="Garamond"/>
          <w:b/>
        </w:rPr>
        <w:t>riportare nella documentazione di gara il</w:t>
      </w:r>
      <w:r w:rsidRPr="00A00DC2">
        <w:rPr>
          <w:rFonts w:ascii="Garamond" w:hAnsi="Garamond" w:cs="Garamond"/>
        </w:rPr>
        <w:t xml:space="preserve"> </w:t>
      </w:r>
      <w:r w:rsidRPr="00AD4F08">
        <w:rPr>
          <w:rFonts w:ascii="Garamond" w:hAnsi="Garamond" w:cs="Garamond"/>
          <w:b/>
        </w:rPr>
        <w:t>procedimento adottato per il calcolo dei compensi</w:t>
      </w:r>
      <w:r w:rsidRPr="00A00DC2">
        <w:rPr>
          <w:rFonts w:ascii="Garamond" w:hAnsi="Garamond" w:cs="Garamond"/>
        </w:rPr>
        <w:t xml:space="preserve"> posti a base di gara, inteso come elenco dettagliato delle prestazioni e dei relativi corrispettivi</w:t>
      </w:r>
      <w:r w:rsidR="00590EF7">
        <w:rPr>
          <w:rFonts w:ascii="Garamond" w:hAnsi="Garamond" w:cs="Garamond"/>
        </w:rPr>
        <w:t xml:space="preserve">; </w:t>
      </w:r>
      <w:r>
        <w:rPr>
          <w:rFonts w:ascii="Garamond" w:hAnsi="Garamond" w:cs="Garamond"/>
        </w:rPr>
        <w:t xml:space="preserve">i </w:t>
      </w:r>
      <w:r w:rsidRPr="00A00DC2">
        <w:rPr>
          <w:rFonts w:ascii="Garamond" w:hAnsi="Garamond" w:cs="Garamond"/>
        </w:rPr>
        <w:t xml:space="preserve">criteri </w:t>
      </w:r>
      <w:r>
        <w:rPr>
          <w:rFonts w:ascii="Garamond" w:hAnsi="Garamond" w:cs="Garamond"/>
        </w:rPr>
        <w:t xml:space="preserve">sono </w:t>
      </w:r>
      <w:r w:rsidRPr="00A00DC2">
        <w:rPr>
          <w:rFonts w:ascii="Garamond" w:hAnsi="Garamond" w:cs="Garamond"/>
        </w:rPr>
        <w:t xml:space="preserve">fissati dal </w:t>
      </w:r>
      <w:r>
        <w:rPr>
          <w:rFonts w:ascii="Garamond" w:hAnsi="Garamond" w:cs="Garamond"/>
        </w:rPr>
        <w:t>DM</w:t>
      </w:r>
      <w:r w:rsidRPr="00A00DC2">
        <w:rPr>
          <w:rFonts w:ascii="Garamond" w:hAnsi="Garamond" w:cs="Garamond"/>
        </w:rPr>
        <w:t xml:space="preserve"> 17 giugno 2016</w:t>
      </w:r>
      <w:r w:rsidR="00590EF7">
        <w:rPr>
          <w:rFonts w:ascii="Garamond" w:hAnsi="Garamond" w:cs="Garamond"/>
        </w:rPr>
        <w:t xml:space="preserve"> citato</w:t>
      </w:r>
      <w:r>
        <w:rPr>
          <w:rFonts w:ascii="Garamond" w:hAnsi="Garamond" w:cs="Garamond"/>
        </w:rPr>
        <w:t>)</w:t>
      </w:r>
      <w:r w:rsidR="00E208EE" w:rsidRPr="00E208EE">
        <w:rPr>
          <w:rFonts w:ascii="Garamond" w:hAnsi="Garamond" w:cs="Garamond"/>
        </w:rPr>
        <w:t>;</w:t>
      </w:r>
    </w:p>
    <w:p w:rsidR="00E208EE" w:rsidRPr="00E208EE" w:rsidRDefault="00A00DC2" w:rsidP="00911CFE">
      <w:pPr>
        <w:pStyle w:val="NormaleWeb"/>
        <w:spacing w:after="0" w:afterAutospacing="0"/>
        <w:jc w:val="both"/>
        <w:rPr>
          <w:rFonts w:ascii="Garamond" w:hAnsi="Garamond" w:cs="Garamond"/>
        </w:rPr>
      </w:pPr>
      <w:r>
        <w:rPr>
          <w:rFonts w:ascii="Garamond" w:hAnsi="Garamond" w:cs="Garamond"/>
        </w:rPr>
        <w:t>3</w:t>
      </w:r>
      <w:r w:rsidR="00E208EE" w:rsidRPr="00E208EE">
        <w:rPr>
          <w:rFonts w:ascii="Garamond" w:hAnsi="Garamond" w:cs="Garamond"/>
        </w:rPr>
        <w:t xml:space="preserve">. </w:t>
      </w:r>
      <w:r w:rsidR="00590EF7">
        <w:rPr>
          <w:rFonts w:ascii="Garamond" w:hAnsi="Garamond" w:cs="Garamond"/>
        </w:rPr>
        <w:t xml:space="preserve">definire quindi </w:t>
      </w:r>
      <w:r w:rsidR="00E208EE" w:rsidRPr="00E208EE">
        <w:rPr>
          <w:rFonts w:ascii="Garamond" w:hAnsi="Garamond" w:cs="Garamond"/>
        </w:rPr>
        <w:t xml:space="preserve">i requisiti di carattere speciale che devono possedere i concorrenti per poter partecipare alla </w:t>
      </w:r>
      <w:r>
        <w:rPr>
          <w:rFonts w:ascii="Garamond" w:hAnsi="Garamond" w:cs="Garamond"/>
        </w:rPr>
        <w:t>selezione</w:t>
      </w:r>
      <w:r w:rsidR="00590EF7">
        <w:rPr>
          <w:rFonts w:ascii="Garamond" w:hAnsi="Garamond" w:cs="Garamond"/>
        </w:rPr>
        <w:t>, in relazione a quanto individuato al punto 1</w:t>
      </w:r>
      <w:r w:rsidR="00E208EE" w:rsidRPr="00E208EE">
        <w:rPr>
          <w:rFonts w:ascii="Garamond" w:hAnsi="Garamond" w:cs="Garamond"/>
        </w:rPr>
        <w:t xml:space="preserve">; </w:t>
      </w:r>
    </w:p>
    <w:p w:rsidR="00E208EE" w:rsidRDefault="00A00DC2" w:rsidP="00911CFE">
      <w:pPr>
        <w:pStyle w:val="NormaleWeb"/>
        <w:spacing w:after="0" w:afterAutospacing="0"/>
        <w:jc w:val="both"/>
        <w:rPr>
          <w:rFonts w:ascii="Garamond" w:hAnsi="Garamond" w:cs="Garamond"/>
        </w:rPr>
      </w:pPr>
      <w:r>
        <w:rPr>
          <w:rFonts w:ascii="Garamond" w:hAnsi="Garamond" w:cs="Garamond"/>
        </w:rPr>
        <w:t>4</w:t>
      </w:r>
      <w:r w:rsidR="00E208EE" w:rsidRPr="00E208EE">
        <w:rPr>
          <w:rFonts w:ascii="Garamond" w:hAnsi="Garamond" w:cs="Garamond"/>
        </w:rPr>
        <w:t xml:space="preserve">. per le gare di importo pari o superiore a 40.000 – che devono svolgersi </w:t>
      </w:r>
      <w:r w:rsidR="00590EF7">
        <w:rPr>
          <w:rFonts w:ascii="Garamond" w:hAnsi="Garamond" w:cs="Garamond"/>
        </w:rPr>
        <w:t xml:space="preserve">necessariamente </w:t>
      </w:r>
      <w:r w:rsidR="00E208EE" w:rsidRPr="00E208EE">
        <w:rPr>
          <w:rFonts w:ascii="Garamond" w:hAnsi="Garamond" w:cs="Garamond"/>
        </w:rPr>
        <w:t xml:space="preserve">mediante il criterio dell’offerta economicamente più vantaggiosa secondo il miglior rapporto qualità/prezzo – </w:t>
      </w:r>
      <w:r w:rsidR="00590EF7">
        <w:rPr>
          <w:rFonts w:ascii="Garamond" w:hAnsi="Garamond" w:cs="Garamond"/>
        </w:rPr>
        <w:t>precisare i</w:t>
      </w:r>
      <w:r w:rsidR="00E208EE" w:rsidRPr="00E208EE">
        <w:rPr>
          <w:rFonts w:ascii="Garamond" w:hAnsi="Garamond" w:cs="Garamond"/>
        </w:rPr>
        <w:t xml:space="preserve">l contenuto dell’offerta </w:t>
      </w:r>
      <w:r w:rsidR="00590EF7">
        <w:rPr>
          <w:rFonts w:ascii="Garamond" w:hAnsi="Garamond" w:cs="Garamond"/>
        </w:rPr>
        <w:t xml:space="preserve">tecnica </w:t>
      </w:r>
      <w:r w:rsidR="00E208EE" w:rsidRPr="00E208EE">
        <w:rPr>
          <w:rFonts w:ascii="Garamond" w:hAnsi="Garamond" w:cs="Garamond"/>
        </w:rPr>
        <w:t>da presentare</w:t>
      </w:r>
      <w:r w:rsidR="00DE7E30">
        <w:rPr>
          <w:rFonts w:ascii="Garamond" w:hAnsi="Garamond" w:cs="Garamond"/>
        </w:rPr>
        <w:t xml:space="preserve"> (ma ugualmente se si scelga lo stesso criterio per affidamenti inferiori a 40.000 ove però l’ANAC ha specificato che non può essere imposto mediante Linee Guida, in assenza di specifica norma legislativa, in specifico rigetto di osservazione formulata in sede di prima consultazione)</w:t>
      </w:r>
      <w:r w:rsidR="00E208EE" w:rsidRPr="00E208EE">
        <w:rPr>
          <w:rFonts w:ascii="Garamond" w:hAnsi="Garamond" w:cs="Garamond"/>
        </w:rPr>
        <w:t>.</w:t>
      </w:r>
    </w:p>
    <w:p w:rsidR="00F10DB1" w:rsidRDefault="00F10DB1" w:rsidP="0073051B">
      <w:pPr>
        <w:pStyle w:val="NormaleWeb"/>
        <w:jc w:val="both"/>
        <w:rPr>
          <w:rFonts w:ascii="Garamond" w:hAnsi="Garamond" w:cs="Garamond"/>
        </w:rPr>
      </w:pPr>
      <w:r>
        <w:rPr>
          <w:rFonts w:ascii="Garamond" w:hAnsi="Garamond" w:cs="Garamond"/>
        </w:rPr>
        <w:t xml:space="preserve">Quanto ai </w:t>
      </w:r>
      <w:r w:rsidRPr="00F10DB1">
        <w:rPr>
          <w:rFonts w:ascii="Garamond" w:hAnsi="Garamond" w:cs="Garamond"/>
          <w:b/>
        </w:rPr>
        <w:t>requisiti di idoneità tecnica</w:t>
      </w:r>
      <w:r>
        <w:rPr>
          <w:rFonts w:ascii="Garamond" w:hAnsi="Garamond" w:cs="Garamond"/>
        </w:rPr>
        <w:t xml:space="preserve">, anche degli operatori costituiti in forma associativa o societaria, nonché per le forme aggregative disciplinate dal codice, il riferimento è al </w:t>
      </w:r>
      <w:r w:rsidRPr="00F10DB1">
        <w:rPr>
          <w:rFonts w:ascii="Garamond" w:hAnsi="Garamond" w:cs="Garamond"/>
          <w:iCs/>
        </w:rPr>
        <w:t>D.M. MIT 2 dicembre 2016, n. 263 (</w:t>
      </w:r>
      <w:r w:rsidRPr="00F10DB1">
        <w:rPr>
          <w:rFonts w:ascii="Garamond" w:hAnsi="Garamond" w:cs="Garamond"/>
          <w:bCs/>
          <w:i/>
          <w:iCs/>
        </w:rPr>
        <w:t>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 50</w:t>
      </w:r>
      <w:r w:rsidRPr="00F10DB1">
        <w:rPr>
          <w:rFonts w:ascii="Garamond" w:hAnsi="Garamond" w:cs="Garamond"/>
          <w:bCs/>
          <w:iCs/>
        </w:rPr>
        <w:t>)</w:t>
      </w:r>
      <w:r>
        <w:rPr>
          <w:rFonts w:ascii="Garamond" w:hAnsi="Garamond" w:cs="Garamond"/>
          <w:bCs/>
          <w:iCs/>
        </w:rPr>
        <w:t>.</w:t>
      </w:r>
    </w:p>
    <w:p w:rsidR="0073051B" w:rsidRPr="0073051B" w:rsidRDefault="0073051B" w:rsidP="0073051B">
      <w:pPr>
        <w:pStyle w:val="NormaleWeb"/>
        <w:jc w:val="both"/>
        <w:rPr>
          <w:rFonts w:ascii="Garamond" w:hAnsi="Garamond" w:cs="Garamond"/>
        </w:rPr>
      </w:pPr>
      <w:r>
        <w:rPr>
          <w:rFonts w:ascii="Garamond" w:hAnsi="Garamond" w:cs="Garamond"/>
        </w:rPr>
        <w:t>Come ha rilevato l’ANAC nelle proprie Linee Guida, quanto ai</w:t>
      </w:r>
      <w:r w:rsidRPr="00F10DB1">
        <w:rPr>
          <w:rFonts w:ascii="Garamond" w:hAnsi="Garamond" w:cs="Garamond"/>
        </w:rPr>
        <w:t xml:space="preserve"> </w:t>
      </w:r>
      <w:r w:rsidR="00F10DB1">
        <w:rPr>
          <w:rFonts w:ascii="Garamond" w:hAnsi="Garamond" w:cs="Garamond"/>
        </w:rPr>
        <w:t xml:space="preserve">restanti </w:t>
      </w:r>
      <w:r w:rsidRPr="00F10DB1">
        <w:rPr>
          <w:rFonts w:ascii="Garamond" w:hAnsi="Garamond" w:cs="Garamond"/>
        </w:rPr>
        <w:t>requisiti di partecipazione</w:t>
      </w:r>
      <w:r>
        <w:rPr>
          <w:rFonts w:ascii="Garamond" w:hAnsi="Garamond" w:cs="Garamond"/>
        </w:rPr>
        <w:t>, i</w:t>
      </w:r>
      <w:r w:rsidRPr="0073051B">
        <w:rPr>
          <w:rFonts w:ascii="Garamond" w:hAnsi="Garamond" w:cs="Garamond"/>
        </w:rPr>
        <w:t xml:space="preserve">l quadro normativo vigente non fornisce più indicazioni in ordine ai </w:t>
      </w:r>
      <w:r w:rsidRPr="00F10DB1">
        <w:rPr>
          <w:rFonts w:ascii="Garamond" w:hAnsi="Garamond" w:cs="Garamond"/>
          <w:b/>
        </w:rPr>
        <w:t>requisiti di capacità economico-finanziaria e tecnico-organizzativa</w:t>
      </w:r>
      <w:r>
        <w:rPr>
          <w:rFonts w:ascii="Garamond" w:hAnsi="Garamond" w:cs="Garamond"/>
        </w:rPr>
        <w:t>,</w:t>
      </w:r>
      <w:r w:rsidRPr="0073051B">
        <w:rPr>
          <w:rFonts w:ascii="Garamond" w:hAnsi="Garamond" w:cs="Garamond"/>
        </w:rPr>
        <w:t xml:space="preserve"> in modo specifico per la partecipazione alle procedure di affidamento dei servizi di ingegneria e di architettura e gli altri servizi tecnici. Tuttavia, in base </w:t>
      </w:r>
      <w:r>
        <w:rPr>
          <w:rFonts w:ascii="Garamond" w:hAnsi="Garamond" w:cs="Garamond"/>
        </w:rPr>
        <w:t xml:space="preserve">ai principi generali e </w:t>
      </w:r>
      <w:r w:rsidRPr="0073051B">
        <w:rPr>
          <w:rFonts w:ascii="Garamond" w:hAnsi="Garamond" w:cs="Garamond"/>
        </w:rPr>
        <w:t>alle disposizioni genericamente riferite agli appalti di servizi e di forniture</w:t>
      </w:r>
      <w:r>
        <w:rPr>
          <w:rFonts w:ascii="Garamond" w:hAnsi="Garamond" w:cs="Garamond"/>
        </w:rPr>
        <w:t>,</w:t>
      </w:r>
      <w:r w:rsidRPr="0073051B">
        <w:rPr>
          <w:rFonts w:ascii="Garamond" w:hAnsi="Garamond" w:cs="Garamond"/>
        </w:rPr>
        <w:t xml:space="preserve"> è possibile individuare – tenuto conto della specificità dei servizi di ingegneria e di architettura</w:t>
      </w:r>
      <w:r w:rsidR="004136E3">
        <w:rPr>
          <w:rFonts w:ascii="Garamond" w:hAnsi="Garamond" w:cs="Garamond"/>
        </w:rPr>
        <w:t>,</w:t>
      </w:r>
      <w:r w:rsidRPr="0073051B">
        <w:rPr>
          <w:rFonts w:ascii="Garamond" w:hAnsi="Garamond" w:cs="Garamond"/>
        </w:rPr>
        <w:t xml:space="preserve"> in ossequio ai principi di adeguatezza e attinenza e nel rispetto di quello di proporzionalità (art. 83 del codice che discende dall’art. 58 della Direttiva n. 2014/24/UE) – i seguenti requisiti: </w:t>
      </w:r>
    </w:p>
    <w:p w:rsidR="0073051B" w:rsidRPr="0073051B" w:rsidRDefault="0073051B" w:rsidP="0073051B">
      <w:pPr>
        <w:pStyle w:val="NormaleWeb"/>
        <w:jc w:val="both"/>
        <w:rPr>
          <w:rFonts w:ascii="Garamond" w:hAnsi="Garamond" w:cs="Garamond"/>
        </w:rPr>
      </w:pPr>
      <w:r w:rsidRPr="0073051B">
        <w:rPr>
          <w:rFonts w:ascii="Garamond" w:hAnsi="Garamond" w:cs="Garamond"/>
        </w:rPr>
        <w:t xml:space="preserve">a) il </w:t>
      </w:r>
      <w:r w:rsidRPr="0073051B">
        <w:rPr>
          <w:rFonts w:ascii="Garamond" w:hAnsi="Garamond" w:cs="Garamond"/>
          <w:b/>
        </w:rPr>
        <w:t>fatturato globale</w:t>
      </w:r>
      <w:r w:rsidRPr="0073051B">
        <w:rPr>
          <w:rFonts w:ascii="Garamond" w:hAnsi="Garamond" w:cs="Garamond"/>
        </w:rPr>
        <w:t xml:space="preserve"> per servizi di ingegneria e di architettura, di cui all’art. 3, lett. vvvv) del codice, espletati nei migliori tre esercizi dell’ultimo quinquennio antecedente la pubblicazione del bando, per un importo massimo pari al doppio dell’importo a base di gara. Le stazioni appaltanti possono anche valutare, in alternativa al fatturato, ai fini della comprova della capacità economico finanziaria di richiedere </w:t>
      </w:r>
      <w:r w:rsidRPr="00AD4F08">
        <w:rPr>
          <w:rFonts w:ascii="Garamond" w:hAnsi="Garamond" w:cs="Garamond"/>
          <w:b/>
        </w:rPr>
        <w:t>un “</w:t>
      </w:r>
      <w:r w:rsidRPr="00AD4F08">
        <w:rPr>
          <w:rFonts w:ascii="Garamond" w:hAnsi="Garamond" w:cs="Garamond"/>
          <w:b/>
          <w:i/>
          <w:iCs/>
        </w:rPr>
        <w:t>livello adeguato di copertura assicurativa</w:t>
      </w:r>
      <w:r w:rsidRPr="00AD4F08">
        <w:rPr>
          <w:rFonts w:ascii="Garamond" w:hAnsi="Garamond" w:cs="Garamond"/>
          <w:b/>
        </w:rPr>
        <w:t>”</w:t>
      </w:r>
      <w:r w:rsidRPr="0073051B">
        <w:rPr>
          <w:rFonts w:ascii="Garamond" w:hAnsi="Garamond" w:cs="Garamond"/>
        </w:rPr>
        <w:t xml:space="preserve"> contro i rischi professionali per un importo percentuale fissato in relazione al costo di costruzione dell’opera da progettare, così come consentito dall’art. 83, comma 4, lett. c) del codice e specificato dall’allegato XVII, parte prima, lettera a). </w:t>
      </w:r>
    </w:p>
    <w:p w:rsidR="0073051B" w:rsidRDefault="0073051B" w:rsidP="0073051B">
      <w:pPr>
        <w:pStyle w:val="NormaleWeb"/>
        <w:jc w:val="both"/>
        <w:rPr>
          <w:rFonts w:ascii="Garamond" w:hAnsi="Garamond" w:cs="Garamond"/>
        </w:rPr>
      </w:pPr>
      <w:r w:rsidRPr="0073051B">
        <w:rPr>
          <w:rFonts w:ascii="Garamond" w:hAnsi="Garamond" w:cs="Garamond"/>
        </w:rPr>
        <w:t xml:space="preserve">b) all’avvenuto espletamento negli ultimi dieci anni di servizi di ingegneria e di architettura, di cui all’art. 3, lett. vvvv) del codice, relativi a lavori appartenenti ad ognuna delle classi e categorie dei lavori cui si riferiscono i servizi da affidare, individuate sulla base delle elencazioni contenute nelle vigenti tariffe professionali, per </w:t>
      </w:r>
      <w:r w:rsidRPr="0073051B">
        <w:rPr>
          <w:rFonts w:ascii="Garamond" w:hAnsi="Garamond" w:cs="Garamond"/>
          <w:b/>
        </w:rPr>
        <w:t>un importo globale</w:t>
      </w:r>
      <w:r w:rsidRPr="0073051B">
        <w:rPr>
          <w:rFonts w:ascii="Garamond" w:hAnsi="Garamond" w:cs="Garamond"/>
        </w:rPr>
        <w:t xml:space="preserve"> per ogni classe e categoria variabile tra 1 e 2 volte l’importo stimato dei lavori cui si riferisce la prestazione, calcolato con riguardo ad ognuna delle classi e categorie;</w:t>
      </w:r>
    </w:p>
    <w:p w:rsidR="0073051B" w:rsidRPr="0073051B" w:rsidRDefault="0073051B" w:rsidP="0073051B">
      <w:pPr>
        <w:pStyle w:val="NormaleWeb"/>
        <w:jc w:val="both"/>
        <w:rPr>
          <w:rFonts w:ascii="Garamond" w:hAnsi="Garamond" w:cs="Garamond"/>
        </w:rPr>
      </w:pPr>
      <w:r w:rsidRPr="0073051B">
        <w:rPr>
          <w:rFonts w:ascii="Garamond" w:hAnsi="Garamond" w:cs="Garamond"/>
        </w:rPr>
        <w:t xml:space="preserve">c) all’avvenuto svolgimento negli ultimi dieci anni di </w:t>
      </w:r>
      <w:r w:rsidRPr="0073051B">
        <w:rPr>
          <w:rFonts w:ascii="Garamond" w:hAnsi="Garamond" w:cs="Garamond"/>
          <w:b/>
        </w:rPr>
        <w:t>due servizi</w:t>
      </w:r>
      <w:r w:rsidRPr="0073051B">
        <w:rPr>
          <w:rFonts w:ascii="Garamond" w:hAnsi="Garamond" w:cs="Garamond"/>
        </w:rPr>
        <w:t xml:space="preserve"> di ingegneria e di architettura, di cui all’art. 3, lett. vvvv) del codice, relativi ai lavori appartenenti ad ognuna delle classi e categorie dei lavori cui si riferiscono i servizi da affidare, individuate sulla base delle elencazioni contenute nelle vigenti tariffe professionali, per un importo totale non inferiore </w:t>
      </w:r>
      <w:r w:rsidRPr="0073051B">
        <w:rPr>
          <w:rFonts w:ascii="Garamond" w:hAnsi="Garamond" w:cs="Garamond"/>
          <w:b/>
        </w:rPr>
        <w:t>ad un valore compreso fra 0,40 e 0,80 volte l’importo stimato dei lavori</w:t>
      </w:r>
      <w:r w:rsidRPr="0073051B">
        <w:rPr>
          <w:rFonts w:ascii="Garamond" w:hAnsi="Garamond" w:cs="Garamond"/>
        </w:rPr>
        <w:t xml:space="preserve"> cui si riferisce la prestazione, calcolato con riguardo ad ognuna delle classi e categorie e riferiti a tipologie di lavori analoghi per dimensione e per caratteristiche tecniche a quelli oggetto dell’affidamento; </w:t>
      </w:r>
    </w:p>
    <w:p w:rsidR="0073051B" w:rsidRPr="0073051B" w:rsidRDefault="0073051B" w:rsidP="0073051B">
      <w:pPr>
        <w:pStyle w:val="NormaleWeb"/>
        <w:jc w:val="both"/>
        <w:rPr>
          <w:rFonts w:ascii="Garamond" w:hAnsi="Garamond" w:cs="Garamond"/>
        </w:rPr>
      </w:pPr>
      <w:r w:rsidRPr="0073051B">
        <w:rPr>
          <w:rFonts w:ascii="Garamond" w:hAnsi="Garamond" w:cs="Garamond"/>
        </w:rPr>
        <w:t xml:space="preserve">d) per i </w:t>
      </w:r>
      <w:r w:rsidRPr="0073051B">
        <w:rPr>
          <w:rFonts w:ascii="Garamond" w:hAnsi="Garamond" w:cs="Garamond"/>
          <w:b/>
        </w:rPr>
        <w:t>soggetti organizzati in forma societaria</w:t>
      </w:r>
      <w:r w:rsidRPr="0073051B">
        <w:rPr>
          <w:rFonts w:ascii="Garamond" w:hAnsi="Garamond" w:cs="Garamond"/>
        </w:rPr>
        <w:t xml:space="preserve"> (società di professionisti e società di ingegneria) </w:t>
      </w:r>
      <w:r w:rsidRPr="0073051B">
        <w:rPr>
          <w:rFonts w:ascii="Garamond" w:hAnsi="Garamond" w:cs="Garamond"/>
          <w:b/>
        </w:rPr>
        <w:t>numero medio annuo del personale tecnico</w:t>
      </w:r>
      <w:r w:rsidRPr="0073051B">
        <w:rPr>
          <w:rFonts w:ascii="Garamond" w:hAnsi="Garamond" w:cs="Garamond"/>
        </w:rPr>
        <w:t xml:space="preserve">, utilizzato negli ultimi tre anni (comprendente i soci attivi, i dipendenti e i 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espresso in termini di risorse a tempo pieno (Full Time Equivalent, FTE), in una misura proporzionata alle unità stimate nel bando per lo svolgimento dell’incarico e, al massimo, non superiore al doppio; </w:t>
      </w:r>
    </w:p>
    <w:p w:rsidR="0073051B" w:rsidRDefault="0073051B" w:rsidP="0073051B">
      <w:pPr>
        <w:pStyle w:val="NormaleWeb"/>
        <w:spacing w:after="0" w:afterAutospacing="0"/>
        <w:jc w:val="both"/>
        <w:rPr>
          <w:rFonts w:ascii="Garamond" w:hAnsi="Garamond" w:cs="Garamond"/>
        </w:rPr>
      </w:pPr>
      <w:r w:rsidRPr="0073051B">
        <w:rPr>
          <w:rFonts w:ascii="Garamond" w:hAnsi="Garamond" w:cs="Garamond"/>
        </w:rPr>
        <w:t xml:space="preserve">e) per i </w:t>
      </w:r>
      <w:r w:rsidRPr="0073051B">
        <w:rPr>
          <w:rFonts w:ascii="Garamond" w:hAnsi="Garamond" w:cs="Garamond"/>
          <w:b/>
        </w:rPr>
        <w:t>professionisti singoli e associati</w:t>
      </w:r>
      <w:r w:rsidRPr="0073051B">
        <w:rPr>
          <w:rFonts w:ascii="Garamond" w:hAnsi="Garamond" w:cs="Garamond"/>
        </w:rPr>
        <w:t xml:space="preserve">, </w:t>
      </w:r>
      <w:r w:rsidRPr="0073051B">
        <w:rPr>
          <w:rFonts w:ascii="Garamond" w:hAnsi="Garamond" w:cs="Garamond"/>
          <w:b/>
        </w:rPr>
        <w:t>numero di unità minime di tecnici</w:t>
      </w:r>
      <w:r w:rsidRPr="0073051B">
        <w:rPr>
          <w:rFonts w:ascii="Garamond" w:hAnsi="Garamond" w:cs="Garamond"/>
        </w:rPr>
        <w:t xml:space="preserve"> (comprendente i dipendenti e i 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 soggetto offerente una quota superiore al cinquanta per cento del proprio fatturato annuo, risultante dall’ultima dichiarazione IVA), espresso in termini di risorse a tempo pieno (Full Time Equivalent, FTE), in misura proporzionata alle unità stimate nel bando per lo svolgimento dell’incarico e, al massimo, non superiore al doppio, da raggiungere anche mediante la costituzione di un raggruppamento temporaneo di professionisti.</w:t>
      </w:r>
    </w:p>
    <w:p w:rsidR="00412D39" w:rsidRPr="00412D39" w:rsidRDefault="0073051B" w:rsidP="00412D39">
      <w:pPr>
        <w:pStyle w:val="NormaleWeb"/>
        <w:jc w:val="both"/>
        <w:rPr>
          <w:rFonts w:ascii="Garamond" w:hAnsi="Garamond" w:cs="Garamond"/>
        </w:rPr>
      </w:pPr>
      <w:r w:rsidRPr="00AD4F08">
        <w:rPr>
          <w:rFonts w:ascii="Garamond" w:hAnsi="Garamond" w:cs="Garamond"/>
          <w:b/>
        </w:rPr>
        <w:t xml:space="preserve">Ai fini della dimostrazione dei requisiti </w:t>
      </w:r>
      <w:r w:rsidR="008E5CDA" w:rsidRPr="00AD4F08">
        <w:rPr>
          <w:rFonts w:ascii="Garamond" w:hAnsi="Garamond" w:cs="Garamond"/>
          <w:b/>
        </w:rPr>
        <w:t>l’ANAC</w:t>
      </w:r>
      <w:r w:rsidRPr="00AD4F08">
        <w:rPr>
          <w:rFonts w:ascii="Garamond" w:hAnsi="Garamond" w:cs="Garamond"/>
          <w:b/>
        </w:rPr>
        <w:t xml:space="preserve"> </w:t>
      </w:r>
      <w:r w:rsidR="008E5CDA" w:rsidRPr="00AD4F08">
        <w:rPr>
          <w:rFonts w:ascii="Garamond" w:hAnsi="Garamond" w:cs="Garamond"/>
          <w:b/>
        </w:rPr>
        <w:t xml:space="preserve">ha espressamente </w:t>
      </w:r>
      <w:r w:rsidR="00781856" w:rsidRPr="00AD4F08">
        <w:rPr>
          <w:rFonts w:ascii="Garamond" w:hAnsi="Garamond" w:cs="Garamond"/>
          <w:b/>
        </w:rPr>
        <w:t>indicato</w:t>
      </w:r>
      <w:r w:rsidRPr="00AD4F08">
        <w:rPr>
          <w:rFonts w:ascii="Garamond" w:hAnsi="Garamond" w:cs="Garamond"/>
          <w:b/>
        </w:rPr>
        <w:t xml:space="preserve"> che, tra i servizi attinenti all’ingegneria e all’architettura e gli altri servizi tecnici, siano ricompresi anche:</w:t>
      </w:r>
      <w:r w:rsidR="0018509F" w:rsidRPr="00AD4F08">
        <w:rPr>
          <w:rFonts w:ascii="Garamond" w:hAnsi="Garamond" w:cs="Garamond"/>
          <w:b/>
        </w:rPr>
        <w:t xml:space="preserve"> </w:t>
      </w:r>
      <w:r w:rsidRPr="00AD4F08">
        <w:rPr>
          <w:rFonts w:ascii="Garamond" w:hAnsi="Garamond" w:cs="Garamond"/>
          <w:b/>
        </w:rPr>
        <w:t>1) gli studi di fattibilità effettuati (anche per opere pubbliche da realizzarsi tramite finanza di progetto) e ogni altro servizio propedeutico alla progettazione effettuato nei confronti di committenti pubblici o privati;</w:t>
      </w:r>
      <w:r w:rsidR="0018509F" w:rsidRPr="00AD4F08">
        <w:rPr>
          <w:rFonts w:ascii="Garamond" w:hAnsi="Garamond" w:cs="Garamond"/>
          <w:b/>
        </w:rPr>
        <w:t xml:space="preserve"> </w:t>
      </w:r>
      <w:r w:rsidRPr="00AD4F08">
        <w:rPr>
          <w:rFonts w:ascii="Garamond" w:hAnsi="Garamond" w:cs="Garamond"/>
          <w:b/>
        </w:rPr>
        <w:t>2) i servizi di consulenza aventi ad oggetto attività accessorie di supporto alla progettazione che non abbiano comportato la firma di elaborati progettuali, a condizione che si tratti di attività svolte nell’esercizio di una professione regolamentata (per le quali è richiesta una determinata qualifica professionale, come indicato dall’art. 3 della direttiva 2005/36/CE) e purché l’esecuzione della prestazione, in mancanza della firma di elaborati progettuali, sia documentata mediante la produzione del contratto di conferimento dell’incarico e delle relative fatture di pagamento;</w:t>
      </w:r>
      <w:r w:rsidR="0018509F" w:rsidRPr="00AD4F08">
        <w:rPr>
          <w:rFonts w:ascii="Garamond" w:hAnsi="Garamond" w:cs="Garamond"/>
          <w:b/>
        </w:rPr>
        <w:t xml:space="preserve"> 3) le prestazioni di ingegneria relative alle sole verifiche strutturali e/o verifiche sismiche, in assenza di progettazione; 4) i servizi di progettazione consistenti nella redazione di varianti, ad opera dei progettisti indicati dalle imprese di costruzioni nell’ambito degli appalti integrati</w:t>
      </w:r>
      <w:r w:rsidR="00412D39" w:rsidRPr="00AD4F08">
        <w:rPr>
          <w:rFonts w:ascii="Garamond" w:hAnsi="Garamond" w:cs="Garamond"/>
          <w:b/>
        </w:rPr>
        <w:t xml:space="preserve"> (</w:t>
      </w:r>
      <w:r w:rsidR="0018509F" w:rsidRPr="00AD4F08">
        <w:rPr>
          <w:rFonts w:ascii="Garamond" w:hAnsi="Garamond" w:cs="Garamond"/>
          <w:b/>
        </w:rPr>
        <w:t>se il servizio svolto risulti formalizzato in un elaborato sottoscritto dal progettista che intende avvalersene e che la stazione appaltante attesti la variante, formalmente approvata e validata, e il relativo importo, importo che dovrà corrispondere alla somma degli importi incrementali, riferiti alle categorie di lavori aggiuntivi rispetto al progetto posto a base di gara</w:t>
      </w:r>
      <w:r w:rsidR="00412D39" w:rsidRPr="00AD4F08">
        <w:rPr>
          <w:rFonts w:ascii="Garamond" w:hAnsi="Garamond" w:cs="Garamond"/>
          <w:b/>
        </w:rPr>
        <w:t>); ecc</w:t>
      </w:r>
      <w:r w:rsidR="0018509F" w:rsidRPr="00AD4F08">
        <w:rPr>
          <w:rFonts w:ascii="Garamond" w:hAnsi="Garamond" w:cs="Garamond"/>
          <w:b/>
        </w:rPr>
        <w:t>.</w:t>
      </w:r>
      <w:r w:rsidR="00412D39" w:rsidRPr="00AD4F08">
        <w:rPr>
          <w:rFonts w:ascii="Garamond" w:hAnsi="Garamond" w:cs="Garamond"/>
          <w:b/>
        </w:rPr>
        <w:t xml:space="preserve"> </w:t>
      </w:r>
      <w:r w:rsidR="00EB0337" w:rsidRPr="00AD4F08">
        <w:rPr>
          <w:rFonts w:ascii="Garamond" w:hAnsi="Garamond" w:cs="Garamond"/>
          <w:b/>
        </w:rPr>
        <w:t xml:space="preserve">Si rinvia altresì alla Parte V delle Linee Guida n. 1/16 quanto alla qualificazione nell’ambito della stessa categoria edilizia, nonché alla Parte VI delle medesime Linee Guida quanto allo specifico servizio di verifica dei progetti. </w:t>
      </w:r>
      <w:r w:rsidR="00412D39" w:rsidRPr="00412D39">
        <w:rPr>
          <w:rFonts w:ascii="Garamond" w:hAnsi="Garamond" w:cs="Garamond"/>
          <w:b/>
        </w:rPr>
        <w:t xml:space="preserve">In </w:t>
      </w:r>
      <w:r w:rsidR="00EB0337">
        <w:rPr>
          <w:rFonts w:ascii="Garamond" w:hAnsi="Garamond" w:cs="Garamond"/>
          <w:b/>
        </w:rPr>
        <w:t xml:space="preserve">linea </w:t>
      </w:r>
      <w:r w:rsidR="00412D39" w:rsidRPr="00412D39">
        <w:rPr>
          <w:rFonts w:ascii="Garamond" w:hAnsi="Garamond" w:cs="Garamond"/>
          <w:b/>
        </w:rPr>
        <w:t xml:space="preserve">generale, il requisito dei servizi svolti non può essere inteso nel senso di limitare il fatturato ai soli servizi specificamente posti a base di gara. </w:t>
      </w:r>
      <w:r w:rsidR="00412D39" w:rsidRPr="00EA2C3A">
        <w:rPr>
          <w:rFonts w:ascii="Garamond" w:hAnsi="Garamond" w:cs="Garamond"/>
        </w:rPr>
        <w:t>Ad esempio, nell’ipotesi di affidamento della progettazione e della direzione lavori, ai fini della dimostrazione della specifica esperienza pregressa, anche per i servizi c.d. di punta, in relazione ad ognuna delle classi e categorie dei lavori cui si riferiscono i servizi da affidare, detti requisiti sono dimostrati con l’espletamento pregresso di incarichi di progettazione e direzione lavori, di sola progettazione ovvero di sola direzione lavori</w:t>
      </w:r>
      <w:r w:rsidR="00EB0337" w:rsidRPr="00EA2C3A">
        <w:rPr>
          <w:rFonts w:ascii="Garamond" w:hAnsi="Garamond" w:cs="Garamond"/>
        </w:rPr>
        <w:t>.</w:t>
      </w:r>
      <w:r w:rsidR="00AF131E">
        <w:rPr>
          <w:rFonts w:ascii="Garamond" w:hAnsi="Garamond" w:cs="Garamond"/>
        </w:rPr>
        <w:t xml:space="preserve"> </w:t>
      </w:r>
      <w:r w:rsidR="00412D39">
        <w:rPr>
          <w:rFonts w:ascii="Garamond" w:hAnsi="Garamond" w:cs="Garamond"/>
        </w:rPr>
        <w:t xml:space="preserve">Occorre poi tenere ben presente </w:t>
      </w:r>
      <w:r w:rsidR="00412D39" w:rsidRPr="00412D39">
        <w:rPr>
          <w:rFonts w:ascii="Garamond" w:hAnsi="Garamond" w:cs="Garamond"/>
        </w:rPr>
        <w:t xml:space="preserve">la necessità di effettuare </w:t>
      </w:r>
      <w:r w:rsidR="00412D39" w:rsidRPr="00412D39">
        <w:rPr>
          <w:rFonts w:ascii="Garamond" w:hAnsi="Garamond" w:cs="Garamond"/>
          <w:b/>
        </w:rPr>
        <w:t>un’attenta valutazione in ordine alle unità minime richieste ai concorrenti</w:t>
      </w:r>
      <w:r w:rsidR="00412D39" w:rsidRPr="00412D39">
        <w:rPr>
          <w:rFonts w:ascii="Garamond" w:hAnsi="Garamond" w:cs="Garamond"/>
        </w:rPr>
        <w:t>. Tale analisi deve essere volta a bilanciare opportunamente l’esigenza di avere un organico idoneo per l’espletamento dell’incarico con la necessità di garantire la più ampia parte</w:t>
      </w:r>
      <w:r w:rsidR="00412D39">
        <w:rPr>
          <w:rFonts w:ascii="Garamond" w:hAnsi="Garamond" w:cs="Garamond"/>
        </w:rPr>
        <w:t>cipazione alla gara.</w:t>
      </w:r>
      <w:r w:rsidR="00AF131E">
        <w:rPr>
          <w:rFonts w:ascii="Garamond" w:hAnsi="Garamond" w:cs="Garamond"/>
        </w:rPr>
        <w:t xml:space="preserve"> </w:t>
      </w:r>
      <w:r w:rsidR="00412D39" w:rsidRPr="00412D39">
        <w:rPr>
          <w:rFonts w:ascii="Garamond" w:hAnsi="Garamond" w:cs="Garamond"/>
        </w:rPr>
        <w:t>Qualora la progettazione di cui alla classe I categorie a), b), c), d) ed e) riguardi immobili di interesse storico artistico sottoposti a vincoli culturali</w:t>
      </w:r>
      <w:r w:rsidR="00412D39">
        <w:rPr>
          <w:rFonts w:ascii="Garamond" w:hAnsi="Garamond" w:cs="Garamond"/>
        </w:rPr>
        <w:t>,</w:t>
      </w:r>
      <w:r w:rsidR="00412D39" w:rsidRPr="00412D39">
        <w:rPr>
          <w:rFonts w:ascii="Garamond" w:hAnsi="Garamond" w:cs="Garamond"/>
        </w:rPr>
        <w:t xml:space="preserve"> la progettazione è riservata ai laureati in architettura o muniti di laurea equipollente che consente l’iscrizione all’Albo degli Architetti, sez. A (art. 52 del regio decreto 23 ottobre 1925, n. 2537)</w:t>
      </w:r>
      <w:r w:rsidR="00412D39">
        <w:rPr>
          <w:rFonts w:ascii="Garamond" w:hAnsi="Garamond" w:cs="Garamond"/>
        </w:rPr>
        <w:t>.</w:t>
      </w:r>
    </w:p>
    <w:p w:rsidR="00AD4F08" w:rsidRPr="00AF131E" w:rsidRDefault="00AD4F08" w:rsidP="00AB53FF">
      <w:pPr>
        <w:pStyle w:val="NormaleWeb"/>
        <w:jc w:val="both"/>
        <w:rPr>
          <w:rFonts w:ascii="Garamond" w:hAnsi="Garamond" w:cs="Garamond"/>
          <w:b/>
        </w:rPr>
      </w:pPr>
      <w:r w:rsidRPr="00AF131E">
        <w:rPr>
          <w:rFonts w:ascii="Garamond" w:hAnsi="Garamond" w:cs="Garamond"/>
          <w:b/>
        </w:rPr>
        <w:t>Dal punto di vista dei requisiti richiesti, si è adottata negli schemi una strategia flessibile</w:t>
      </w:r>
      <w:r w:rsidR="0097488E" w:rsidRPr="00AF131E">
        <w:rPr>
          <w:rFonts w:ascii="Garamond" w:hAnsi="Garamond" w:cs="Garamond"/>
          <w:b/>
        </w:rPr>
        <w:t xml:space="preserve">, lasciando comunque alle S.A. ampia facoltà discrezionale di scelta dei requisiti da richiedere nel caso concreto, formulando poche scelte definitive e per il resto </w:t>
      </w:r>
      <w:r w:rsidR="00AF131E" w:rsidRPr="00AF131E">
        <w:rPr>
          <w:rFonts w:ascii="Garamond" w:hAnsi="Garamond" w:cs="Garamond"/>
          <w:b/>
        </w:rPr>
        <w:t>indicando meri suggerimenti, secondo una ovvia richiesta incrementale di requisiti al salire degli importi a base di affidamento.</w:t>
      </w:r>
      <w:r w:rsidR="00AF131E">
        <w:rPr>
          <w:rFonts w:ascii="Garamond" w:hAnsi="Garamond" w:cs="Garamond"/>
          <w:b/>
        </w:rPr>
        <w:t xml:space="preserve"> Si è così escluso decisamente di richiedere il fatturato globale nell’avviso per affidamento diretto sotto i 40.000 euro, privilegiando la copertura assicurativa. I due requisiti invece sono posti in alternatività nell’avviso per affidamenti tra 40.000 e 100.00 euro, peraltro estensibile ad affidamenti fino alla soglia europea (il che </w:t>
      </w:r>
      <w:r w:rsidR="002F1309">
        <w:rPr>
          <w:rFonts w:ascii="Garamond" w:hAnsi="Garamond" w:cs="Garamond"/>
          <w:b/>
        </w:rPr>
        <w:t xml:space="preserve">deve </w:t>
      </w:r>
      <w:r w:rsidR="00AF131E">
        <w:rPr>
          <w:rFonts w:ascii="Garamond" w:hAnsi="Garamond" w:cs="Garamond"/>
          <w:b/>
        </w:rPr>
        <w:t>pot</w:t>
      </w:r>
      <w:r w:rsidR="002F1309">
        <w:rPr>
          <w:rFonts w:ascii="Garamond" w:hAnsi="Garamond" w:cs="Garamond"/>
          <w:b/>
        </w:rPr>
        <w:t>e</w:t>
      </w:r>
      <w:r w:rsidR="00AF131E">
        <w:rPr>
          <w:rFonts w:ascii="Garamond" w:hAnsi="Garamond" w:cs="Garamond"/>
          <w:b/>
        </w:rPr>
        <w:t xml:space="preserve">r incidere sulla scelta concreta finale </w:t>
      </w:r>
      <w:r w:rsidR="002F1309">
        <w:rPr>
          <w:rFonts w:ascii="Garamond" w:hAnsi="Garamond" w:cs="Garamond"/>
          <w:b/>
        </w:rPr>
        <w:t>spettante a</w:t>
      </w:r>
      <w:r w:rsidR="00AF131E">
        <w:rPr>
          <w:rFonts w:ascii="Garamond" w:hAnsi="Garamond" w:cs="Garamond"/>
          <w:b/>
        </w:rPr>
        <w:t>lla S.A.). Anche con riguardo ai servizi analoghi e ai servizi c.d. di punta se ne è previsto un utilizzo gradual</w:t>
      </w:r>
      <w:r w:rsidR="002F1309">
        <w:rPr>
          <w:rFonts w:ascii="Garamond" w:hAnsi="Garamond" w:cs="Garamond"/>
          <w:b/>
        </w:rPr>
        <w:t xml:space="preserve">mente crescente </w:t>
      </w:r>
      <w:r w:rsidR="00AF131E">
        <w:rPr>
          <w:rFonts w:ascii="Garamond" w:hAnsi="Garamond" w:cs="Garamond"/>
          <w:b/>
        </w:rPr>
        <w:t>al crescere dell’importanza dell’affidamento, anche in termini di importi richiedibili. Si è invece proposto in tutti i modelli, pur con le cautele suggerite anche dall’ANAC</w:t>
      </w:r>
      <w:r w:rsidR="002F1309">
        <w:rPr>
          <w:rFonts w:ascii="Garamond" w:hAnsi="Garamond" w:cs="Garamond"/>
          <w:b/>
        </w:rPr>
        <w:t xml:space="preserve"> e specificamente riportate nei modelli</w:t>
      </w:r>
      <w:r w:rsidR="00AF131E">
        <w:rPr>
          <w:rFonts w:ascii="Garamond" w:hAnsi="Garamond" w:cs="Garamond"/>
          <w:b/>
        </w:rPr>
        <w:t>, il requisito afferente all’organico minimo richiesto al candidato/concorrente</w:t>
      </w:r>
      <w:r w:rsidR="002F1309">
        <w:rPr>
          <w:rFonts w:ascii="Garamond" w:hAnsi="Garamond" w:cs="Garamond"/>
          <w:b/>
        </w:rPr>
        <w:t>, in quanto questo requisito (modulabile anch’esso) appare però tale da garantire già in partenza un minimo di qualità della prestazione.</w:t>
      </w:r>
    </w:p>
    <w:p w:rsidR="00AB53FF" w:rsidRDefault="00412D39" w:rsidP="00AB53FF">
      <w:pPr>
        <w:pStyle w:val="NormaleWeb"/>
        <w:jc w:val="both"/>
        <w:rPr>
          <w:rFonts w:ascii="Garamond" w:hAnsi="Garamond" w:cs="Garamond"/>
        </w:rPr>
      </w:pPr>
      <w:r>
        <w:rPr>
          <w:rFonts w:ascii="Garamond" w:hAnsi="Garamond" w:cs="Garamond"/>
        </w:rPr>
        <w:t xml:space="preserve">Quanto ai </w:t>
      </w:r>
      <w:r w:rsidRPr="002F1309">
        <w:rPr>
          <w:rFonts w:ascii="Garamond" w:hAnsi="Garamond" w:cs="Garamond"/>
          <w:b/>
        </w:rPr>
        <w:t>soggetti partecipanti</w:t>
      </w:r>
      <w:r>
        <w:rPr>
          <w:rFonts w:ascii="Garamond" w:hAnsi="Garamond" w:cs="Garamond"/>
        </w:rPr>
        <w:t xml:space="preserve">, in particolare ai soggetti plurimi, </w:t>
      </w:r>
      <w:r w:rsidR="00AB53FF">
        <w:rPr>
          <w:rFonts w:ascii="Garamond" w:hAnsi="Garamond" w:cs="Garamond"/>
        </w:rPr>
        <w:t>si segnala che:</w:t>
      </w:r>
    </w:p>
    <w:p w:rsidR="00AB53FF" w:rsidRDefault="00AB53FF" w:rsidP="00AB53FF">
      <w:pPr>
        <w:pStyle w:val="NormaleWeb"/>
        <w:jc w:val="both"/>
        <w:rPr>
          <w:rFonts w:ascii="Garamond" w:hAnsi="Garamond" w:cs="Garamond"/>
        </w:rPr>
      </w:pPr>
      <w:r>
        <w:rPr>
          <w:rFonts w:ascii="Garamond" w:hAnsi="Garamond" w:cs="Garamond"/>
        </w:rPr>
        <w:t>- quanto all</w:t>
      </w:r>
      <w:r w:rsidRPr="00AB53FF">
        <w:rPr>
          <w:rFonts w:ascii="Garamond" w:hAnsi="Garamond" w:cs="Garamond"/>
        </w:rPr>
        <w:t>’articolazione del concorrente in RTP</w:t>
      </w:r>
      <w:r>
        <w:rPr>
          <w:rFonts w:ascii="Garamond" w:hAnsi="Garamond" w:cs="Garamond"/>
        </w:rPr>
        <w:t>, questo</w:t>
      </w:r>
      <w:r w:rsidRPr="00AB53FF">
        <w:rPr>
          <w:rFonts w:ascii="Garamond" w:hAnsi="Garamond" w:cs="Garamond"/>
        </w:rPr>
        <w:t xml:space="preserve"> potrà essere format</w:t>
      </w:r>
      <w:r>
        <w:rPr>
          <w:rFonts w:ascii="Garamond" w:hAnsi="Garamond" w:cs="Garamond"/>
        </w:rPr>
        <w:t>o</w:t>
      </w:r>
      <w:r w:rsidRPr="00AB53FF">
        <w:rPr>
          <w:rFonts w:ascii="Garamond" w:hAnsi="Garamond" w:cs="Garamond"/>
        </w:rPr>
        <w:t xml:space="preserve"> da tutti i soggetti di cui all’art. 46, comma 1 lettere da a) a d) del codice</w:t>
      </w:r>
      <w:r>
        <w:rPr>
          <w:rFonts w:ascii="Garamond" w:hAnsi="Garamond" w:cs="Garamond"/>
        </w:rPr>
        <w:t>,</w:t>
      </w:r>
      <w:r w:rsidRPr="00AB53FF">
        <w:rPr>
          <w:rFonts w:ascii="Garamond" w:hAnsi="Garamond" w:cs="Garamond"/>
        </w:rPr>
        <w:t xml:space="preserve"> ma anche comprendere i soggetti di cui alla lettera f) del medesimo comma</w:t>
      </w:r>
      <w:r>
        <w:rPr>
          <w:rFonts w:ascii="Garamond" w:hAnsi="Garamond" w:cs="Garamond"/>
        </w:rPr>
        <w:t>;</w:t>
      </w:r>
    </w:p>
    <w:p w:rsidR="00AB53FF" w:rsidRPr="00AB53FF" w:rsidRDefault="00AB53FF" w:rsidP="00AB53FF">
      <w:pPr>
        <w:pStyle w:val="NormaleWeb"/>
        <w:jc w:val="both"/>
        <w:rPr>
          <w:rFonts w:ascii="Garamond" w:hAnsi="Garamond" w:cs="Garamond"/>
        </w:rPr>
      </w:pPr>
      <w:r>
        <w:rPr>
          <w:rFonts w:ascii="Garamond" w:hAnsi="Garamond" w:cs="Garamond"/>
        </w:rPr>
        <w:t>-</w:t>
      </w:r>
      <w:r w:rsidRPr="00AB53FF">
        <w:rPr>
          <w:rFonts w:ascii="Garamond" w:hAnsi="Garamond" w:cs="Garamond"/>
        </w:rPr>
        <w:t xml:space="preserve"> </w:t>
      </w:r>
      <w:r>
        <w:rPr>
          <w:rFonts w:ascii="Garamond" w:hAnsi="Garamond" w:cs="Garamond"/>
        </w:rPr>
        <w:t>l</w:t>
      </w:r>
      <w:r w:rsidRPr="00AB53FF">
        <w:rPr>
          <w:rFonts w:ascii="Garamond" w:hAnsi="Garamond" w:cs="Garamond"/>
        </w:rPr>
        <w:t>a distribuzione delle quote tra mandataria e mandanti è stabilita direttamente dalle stazioni appaltanti nei documenti di gara</w:t>
      </w:r>
      <w:r w:rsidR="00E40072">
        <w:rPr>
          <w:rFonts w:ascii="Garamond" w:hAnsi="Garamond" w:cs="Garamond"/>
        </w:rPr>
        <w:t>, nei limiti tuttavia che erano già stati individuati in precedenza per gli incarichi tecnici</w:t>
      </w:r>
      <w:r>
        <w:rPr>
          <w:rFonts w:ascii="Garamond" w:hAnsi="Garamond" w:cs="Garamond"/>
        </w:rPr>
        <w:t>;</w:t>
      </w:r>
      <w:r w:rsidR="00E40072">
        <w:rPr>
          <w:rFonts w:ascii="Garamond" w:hAnsi="Garamond" w:cs="Garamond"/>
        </w:rPr>
        <w:t xml:space="preserve"> </w:t>
      </w:r>
      <w:r>
        <w:rPr>
          <w:rFonts w:ascii="Garamond" w:hAnsi="Garamond" w:cs="Garamond"/>
        </w:rPr>
        <w:t>i</w:t>
      </w:r>
      <w:r w:rsidRPr="00AB53FF">
        <w:rPr>
          <w:rFonts w:ascii="Garamond" w:hAnsi="Garamond" w:cs="Garamond"/>
        </w:rPr>
        <w:t xml:space="preserve"> requisiti finanziari e tecnici di cui al</w:t>
      </w:r>
      <w:r>
        <w:rPr>
          <w:rFonts w:ascii="Garamond" w:hAnsi="Garamond" w:cs="Garamond"/>
        </w:rPr>
        <w:t xml:space="preserve">le </w:t>
      </w:r>
      <w:r w:rsidRPr="00AB53FF">
        <w:rPr>
          <w:rFonts w:ascii="Garamond" w:hAnsi="Garamond" w:cs="Garamond"/>
        </w:rPr>
        <w:t>lettere a), b) e d)</w:t>
      </w:r>
      <w:r w:rsidR="008E5CDA">
        <w:rPr>
          <w:rFonts w:ascii="Garamond" w:hAnsi="Garamond" w:cs="Garamond"/>
        </w:rPr>
        <w:t xml:space="preserve"> di cui sopra</w:t>
      </w:r>
      <w:r w:rsidRPr="00AB53FF">
        <w:rPr>
          <w:rFonts w:ascii="Garamond" w:hAnsi="Garamond" w:cs="Garamond"/>
        </w:rPr>
        <w:t>, devono essere posseduti cumulativamente dal raggruppamento</w:t>
      </w:r>
      <w:r>
        <w:rPr>
          <w:rFonts w:ascii="Garamond" w:hAnsi="Garamond" w:cs="Garamond"/>
        </w:rPr>
        <w:t xml:space="preserve"> e i</w:t>
      </w:r>
      <w:r w:rsidRPr="00AB53FF">
        <w:rPr>
          <w:rFonts w:ascii="Garamond" w:hAnsi="Garamond" w:cs="Garamond"/>
        </w:rPr>
        <w:t>l bando di gara, la lettera di invito o l’avviso di gara possono prevedere, con opportuna motivazione, ai fini del computo complessivo dei requisiti del raggruppamento, che la mandataria debba possedere una percentuale minima degli stessi requisiti</w:t>
      </w:r>
      <w:r w:rsidR="002F1309">
        <w:rPr>
          <w:rFonts w:ascii="Garamond" w:hAnsi="Garamond" w:cs="Garamond"/>
        </w:rPr>
        <w:t xml:space="preserve"> </w:t>
      </w:r>
      <w:r w:rsidR="002F1309" w:rsidRPr="002F1309">
        <w:rPr>
          <w:rFonts w:ascii="Garamond" w:hAnsi="Garamond" w:cs="Garamond"/>
          <w:b/>
        </w:rPr>
        <w:t>(negli schemi però si è esclusa tale possibilità</w:t>
      </w:r>
      <w:r w:rsidR="002F1309">
        <w:rPr>
          <w:rFonts w:ascii="Garamond" w:hAnsi="Garamond" w:cs="Garamond"/>
          <w:b/>
        </w:rPr>
        <w:t>, considerata la particolarità dei servizi da affidare</w:t>
      </w:r>
      <w:r w:rsidR="002F1309" w:rsidRPr="002F1309">
        <w:rPr>
          <w:rFonts w:ascii="Garamond" w:hAnsi="Garamond" w:cs="Garamond"/>
          <w:b/>
        </w:rPr>
        <w:t>)</w:t>
      </w:r>
      <w:r w:rsidRPr="00AB53FF">
        <w:rPr>
          <w:rFonts w:ascii="Garamond" w:hAnsi="Garamond" w:cs="Garamond"/>
        </w:rPr>
        <w:t xml:space="preserve">; la restante percentuale deve essere posseduta cumulativamente dal o dai mandanti, </w:t>
      </w:r>
      <w:r w:rsidRPr="002F1309">
        <w:rPr>
          <w:rFonts w:ascii="Garamond" w:hAnsi="Garamond" w:cs="Garamond"/>
          <w:b/>
        </w:rPr>
        <w:t>ai quali non possono essere richieste percentuali minime di possesso dei requisiti</w:t>
      </w:r>
      <w:r w:rsidRPr="00AB53FF">
        <w:rPr>
          <w:rFonts w:ascii="Garamond" w:hAnsi="Garamond" w:cs="Garamond"/>
        </w:rPr>
        <w:t xml:space="preserve">. La mandataria in ogni caso possiede i requisiti necessari per la partecipazione alla gara in misura percentuale superiore rispetto a ciascuna dei mandanti. La mandataria, ove sia in possesso di requisiti superiori alla percentuale prevista dal bando di gara, dalla lettera di invito o dall’avviso di gara, partecipa alla gara per una percentuale di requisiti pari al limite massimo stabilito. </w:t>
      </w:r>
      <w:r>
        <w:rPr>
          <w:rFonts w:ascii="Garamond" w:hAnsi="Garamond" w:cs="Garamond"/>
        </w:rPr>
        <w:t xml:space="preserve">Come </w:t>
      </w:r>
      <w:r w:rsidR="008E5CDA">
        <w:rPr>
          <w:rFonts w:ascii="Garamond" w:hAnsi="Garamond" w:cs="Garamond"/>
        </w:rPr>
        <w:t xml:space="preserve">ulteriormente </w:t>
      </w:r>
      <w:r>
        <w:rPr>
          <w:rFonts w:ascii="Garamond" w:hAnsi="Garamond" w:cs="Garamond"/>
        </w:rPr>
        <w:t>specificato dalle Linee Guida</w:t>
      </w:r>
      <w:r w:rsidR="008E5CDA">
        <w:rPr>
          <w:rFonts w:ascii="Garamond" w:hAnsi="Garamond" w:cs="Garamond"/>
        </w:rPr>
        <w:t>,</w:t>
      </w:r>
      <w:r>
        <w:rPr>
          <w:rFonts w:ascii="Garamond" w:hAnsi="Garamond" w:cs="Garamond"/>
        </w:rPr>
        <w:t xml:space="preserve"> i</w:t>
      </w:r>
      <w:r w:rsidRPr="00AB53FF">
        <w:rPr>
          <w:rFonts w:ascii="Garamond" w:hAnsi="Garamond" w:cs="Garamond"/>
        </w:rPr>
        <w:t>l requisito di cui al</w:t>
      </w:r>
      <w:r>
        <w:rPr>
          <w:rFonts w:ascii="Garamond" w:hAnsi="Garamond" w:cs="Garamond"/>
        </w:rPr>
        <w:t>la precedente</w:t>
      </w:r>
      <w:r w:rsidRPr="00AB53FF">
        <w:rPr>
          <w:rFonts w:ascii="Garamond" w:hAnsi="Garamond" w:cs="Garamond"/>
        </w:rPr>
        <w:t xml:space="preserve"> lett</w:t>
      </w:r>
      <w:r>
        <w:rPr>
          <w:rFonts w:ascii="Garamond" w:hAnsi="Garamond" w:cs="Garamond"/>
        </w:rPr>
        <w:t>era</w:t>
      </w:r>
      <w:r w:rsidRPr="00AB53FF">
        <w:rPr>
          <w:rFonts w:ascii="Garamond" w:hAnsi="Garamond" w:cs="Garamond"/>
        </w:rPr>
        <w:t xml:space="preserve"> c) </w:t>
      </w:r>
      <w:r w:rsidR="008E5CDA">
        <w:rPr>
          <w:rFonts w:ascii="Garamond" w:hAnsi="Garamond" w:cs="Garamond"/>
        </w:rPr>
        <w:t xml:space="preserve">di cui sopra </w:t>
      </w:r>
      <w:r>
        <w:rPr>
          <w:rFonts w:ascii="Garamond" w:hAnsi="Garamond" w:cs="Garamond"/>
        </w:rPr>
        <w:t>(c.d. servizi di punta) non è frazionabile;</w:t>
      </w:r>
      <w:r w:rsidR="00776697">
        <w:rPr>
          <w:rFonts w:ascii="Garamond" w:hAnsi="Garamond" w:cs="Garamond"/>
        </w:rPr>
        <w:t xml:space="preserve"> il tutto va adeguato alle singole procedure previste;</w:t>
      </w:r>
    </w:p>
    <w:p w:rsidR="00AB53FF" w:rsidRPr="00AB53FF" w:rsidRDefault="00AB53FF" w:rsidP="00AB53FF">
      <w:pPr>
        <w:pStyle w:val="NormaleWeb"/>
        <w:jc w:val="both"/>
        <w:rPr>
          <w:rFonts w:ascii="Garamond" w:hAnsi="Garamond" w:cs="Garamond"/>
        </w:rPr>
      </w:pPr>
      <w:r>
        <w:rPr>
          <w:rFonts w:ascii="Garamond" w:hAnsi="Garamond" w:cs="Garamond"/>
        </w:rPr>
        <w:t xml:space="preserve">- </w:t>
      </w:r>
      <w:r w:rsidR="00776697">
        <w:rPr>
          <w:rFonts w:ascii="Garamond" w:hAnsi="Garamond" w:cs="Garamond"/>
        </w:rPr>
        <w:t xml:space="preserve">inoltre </w:t>
      </w:r>
      <w:r>
        <w:rPr>
          <w:rFonts w:ascii="Garamond" w:hAnsi="Garamond" w:cs="Garamond"/>
        </w:rPr>
        <w:t>l</w:t>
      </w:r>
      <w:r w:rsidRPr="00AB53FF">
        <w:rPr>
          <w:rFonts w:ascii="Garamond" w:hAnsi="Garamond" w:cs="Garamond"/>
        </w:rPr>
        <w:t>a spendibilità come esperienza pregressa dei servizi prestati deve essere limitata pro quota rispetto all’importo totale</w:t>
      </w:r>
      <w:r w:rsidR="008E5CDA">
        <w:rPr>
          <w:rFonts w:ascii="Garamond" w:hAnsi="Garamond" w:cs="Garamond"/>
        </w:rPr>
        <w:t>;</w:t>
      </w:r>
    </w:p>
    <w:p w:rsidR="00AB53FF" w:rsidRDefault="00AB53FF" w:rsidP="00AB53FF">
      <w:pPr>
        <w:pStyle w:val="NormaleWeb"/>
        <w:jc w:val="both"/>
        <w:rPr>
          <w:rFonts w:ascii="Garamond" w:hAnsi="Garamond" w:cs="Garamond"/>
        </w:rPr>
      </w:pPr>
      <w:r>
        <w:rPr>
          <w:rFonts w:ascii="Garamond" w:hAnsi="Garamond" w:cs="Garamond"/>
        </w:rPr>
        <w:t>- a</w:t>
      </w:r>
      <w:r w:rsidRPr="00AB53FF">
        <w:rPr>
          <w:rFonts w:ascii="Garamond" w:hAnsi="Garamond" w:cs="Garamond"/>
        </w:rPr>
        <w:t xml:space="preserve">i fini della dimostrazione dei requisiti dei </w:t>
      </w:r>
      <w:r w:rsidRPr="00AB53FF">
        <w:rPr>
          <w:rFonts w:ascii="Garamond" w:hAnsi="Garamond" w:cs="Garamond"/>
          <w:bCs/>
        </w:rPr>
        <w:t>consorzi stabili</w:t>
      </w:r>
      <w:r w:rsidRPr="00AB53FF">
        <w:rPr>
          <w:rFonts w:ascii="Garamond" w:hAnsi="Garamond" w:cs="Garamond"/>
          <w:b/>
          <w:bCs/>
        </w:rPr>
        <w:t xml:space="preserve"> </w:t>
      </w:r>
      <w:r w:rsidRPr="00AB53FF">
        <w:rPr>
          <w:rFonts w:ascii="Garamond" w:hAnsi="Garamond" w:cs="Garamond"/>
        </w:rPr>
        <w:t>di cui all’articolo 46, comma 1 lettera f) del codice,</w:t>
      </w:r>
      <w:r>
        <w:rPr>
          <w:rFonts w:ascii="Garamond" w:hAnsi="Garamond" w:cs="Garamond"/>
        </w:rPr>
        <w:t xml:space="preserve"> tutti </w:t>
      </w:r>
      <w:r w:rsidRPr="00AB53FF">
        <w:rPr>
          <w:rFonts w:ascii="Garamond" w:hAnsi="Garamond" w:cs="Garamond"/>
        </w:rPr>
        <w:t xml:space="preserve">i requisiti di </w:t>
      </w:r>
      <w:r>
        <w:rPr>
          <w:rFonts w:ascii="Garamond" w:hAnsi="Garamond" w:cs="Garamond"/>
        </w:rPr>
        <w:t>partecipazione di cui sopra</w:t>
      </w:r>
      <w:r w:rsidRPr="00AB53FF">
        <w:rPr>
          <w:rFonts w:ascii="Garamond" w:hAnsi="Garamond" w:cs="Garamond"/>
        </w:rPr>
        <w:t xml:space="preserve"> possono essere dimostrati dal consorzio stabile attraverso i requisiti maturati in proprio e i requisiti della società consorziata designata per l’esecuzione dei servizi</w:t>
      </w:r>
      <w:r>
        <w:rPr>
          <w:rFonts w:ascii="Garamond" w:hAnsi="Garamond" w:cs="Garamond"/>
        </w:rPr>
        <w:t>;</w:t>
      </w:r>
      <w:r w:rsidRPr="00AB53FF">
        <w:rPr>
          <w:rFonts w:ascii="Garamond" w:hAnsi="Garamond" w:cs="Garamond"/>
        </w:rPr>
        <w:t xml:space="preserve"> </w:t>
      </w:r>
      <w:r>
        <w:rPr>
          <w:rFonts w:ascii="Garamond" w:hAnsi="Garamond" w:cs="Garamond"/>
        </w:rPr>
        <w:t>s</w:t>
      </w:r>
      <w:r w:rsidRPr="00AB53FF">
        <w:rPr>
          <w:rFonts w:ascii="Garamond" w:hAnsi="Garamond" w:cs="Garamond"/>
        </w:rPr>
        <w:t>e la società consorziata esecutrice non è in possesso dei predetti requisiti, la stessa può avvalersi dei requisi</w:t>
      </w:r>
      <w:r w:rsidR="00BC724D">
        <w:rPr>
          <w:rFonts w:ascii="Garamond" w:hAnsi="Garamond" w:cs="Garamond"/>
        </w:rPr>
        <w:t>ti di altra società consorziata</w:t>
      </w:r>
      <w:r w:rsidR="00453DB3">
        <w:rPr>
          <w:rFonts w:ascii="Garamond" w:hAnsi="Garamond" w:cs="Garamond"/>
        </w:rPr>
        <w:t>.</w:t>
      </w:r>
    </w:p>
    <w:p w:rsidR="00BC724D" w:rsidRDefault="00BC724D" w:rsidP="007A4C16">
      <w:pPr>
        <w:pStyle w:val="NormaleWeb"/>
        <w:jc w:val="both"/>
        <w:rPr>
          <w:rFonts w:ascii="Garamond" w:hAnsi="Garamond" w:cs="Garamond"/>
          <w:b/>
        </w:rPr>
      </w:pPr>
      <w:r>
        <w:rPr>
          <w:rFonts w:ascii="Garamond" w:hAnsi="Garamond" w:cs="Garamond"/>
          <w:b/>
        </w:rPr>
        <w:t>REGOLE DERIVANTI DALLA NORMATIVA PER LA RICOSTRUZIONE POST-SISMA</w:t>
      </w:r>
    </w:p>
    <w:p w:rsidR="00BC724D" w:rsidRDefault="00BC724D" w:rsidP="007A4C16">
      <w:pPr>
        <w:pStyle w:val="NormaleWeb"/>
        <w:jc w:val="both"/>
        <w:rPr>
          <w:rFonts w:ascii="Garamond" w:hAnsi="Garamond" w:cs="Garamond"/>
        </w:rPr>
      </w:pPr>
      <w:r w:rsidRPr="009A4D48">
        <w:rPr>
          <w:rFonts w:ascii="Garamond" w:hAnsi="Garamond" w:cs="Garamond"/>
          <w:b/>
        </w:rPr>
        <w:t>A)</w:t>
      </w:r>
      <w:r>
        <w:rPr>
          <w:rFonts w:ascii="Garamond" w:hAnsi="Garamond" w:cs="Garamond"/>
        </w:rPr>
        <w:t xml:space="preserve"> </w:t>
      </w:r>
      <w:r w:rsidR="004C5B4B">
        <w:rPr>
          <w:rFonts w:ascii="Garamond" w:hAnsi="Garamond" w:cs="Garamond"/>
        </w:rPr>
        <w:t>L</w:t>
      </w:r>
      <w:r w:rsidR="00021568">
        <w:rPr>
          <w:rFonts w:ascii="Garamond" w:hAnsi="Garamond" w:cs="Garamond"/>
        </w:rPr>
        <w:t>e</w:t>
      </w:r>
      <w:r w:rsidR="00F10DB1">
        <w:rPr>
          <w:rFonts w:ascii="Garamond" w:hAnsi="Garamond" w:cs="Garamond"/>
        </w:rPr>
        <w:t xml:space="preserve"> normativ</w:t>
      </w:r>
      <w:r w:rsidR="00021568">
        <w:rPr>
          <w:rFonts w:ascii="Garamond" w:hAnsi="Garamond" w:cs="Garamond"/>
        </w:rPr>
        <w:t>e</w:t>
      </w:r>
      <w:r w:rsidR="00F10DB1">
        <w:rPr>
          <w:rFonts w:ascii="Garamond" w:hAnsi="Garamond" w:cs="Garamond"/>
        </w:rPr>
        <w:t xml:space="preserve"> derogatori</w:t>
      </w:r>
      <w:r w:rsidR="00021568">
        <w:rPr>
          <w:rFonts w:ascii="Garamond" w:hAnsi="Garamond" w:cs="Garamond"/>
        </w:rPr>
        <w:t>e</w:t>
      </w:r>
      <w:r w:rsidR="00F10DB1">
        <w:rPr>
          <w:rFonts w:ascii="Garamond" w:hAnsi="Garamond" w:cs="Garamond"/>
        </w:rPr>
        <w:t xml:space="preserve"> </w:t>
      </w:r>
      <w:r w:rsidR="00021568">
        <w:rPr>
          <w:rFonts w:ascii="Garamond" w:hAnsi="Garamond" w:cs="Garamond"/>
        </w:rPr>
        <w:t xml:space="preserve">per l’emergenza post-sisma </w:t>
      </w:r>
      <w:r w:rsidR="00F10DB1">
        <w:rPr>
          <w:rFonts w:ascii="Garamond" w:hAnsi="Garamond" w:cs="Garamond"/>
        </w:rPr>
        <w:t>ha</w:t>
      </w:r>
      <w:r w:rsidR="00021568">
        <w:rPr>
          <w:rFonts w:ascii="Garamond" w:hAnsi="Garamond" w:cs="Garamond"/>
        </w:rPr>
        <w:t>nno</w:t>
      </w:r>
      <w:r w:rsidR="00F10DB1">
        <w:rPr>
          <w:rFonts w:ascii="Garamond" w:hAnsi="Garamond" w:cs="Garamond"/>
        </w:rPr>
        <w:t xml:space="preserve"> </w:t>
      </w:r>
      <w:r w:rsidR="004C5B4B">
        <w:rPr>
          <w:rFonts w:ascii="Garamond" w:hAnsi="Garamond" w:cs="Garamond"/>
        </w:rPr>
        <w:t>previst</w:t>
      </w:r>
      <w:r w:rsidR="00F10DB1">
        <w:rPr>
          <w:rFonts w:ascii="Garamond" w:hAnsi="Garamond" w:cs="Garamond"/>
        </w:rPr>
        <w:t>o, in relazione alle procedure di affidamento</w:t>
      </w:r>
      <w:r w:rsidR="004C5B4B">
        <w:rPr>
          <w:rFonts w:ascii="Garamond" w:hAnsi="Garamond" w:cs="Garamond"/>
        </w:rPr>
        <w:t xml:space="preserve"> de quo</w:t>
      </w:r>
      <w:r w:rsidR="00F10DB1">
        <w:rPr>
          <w:rFonts w:ascii="Garamond" w:hAnsi="Garamond" w:cs="Garamond"/>
        </w:rPr>
        <w:t>, la possibilità di ricorrere alla procedura negoziata senza previa pubblicazione di bando per gli affidamenti di servizi compresi tra 40.000 euro e la soglia di rilievo europeo</w:t>
      </w:r>
      <w:r w:rsidR="00021568">
        <w:rPr>
          <w:rFonts w:ascii="Garamond" w:hAnsi="Garamond" w:cs="Garamond"/>
        </w:rPr>
        <w:t xml:space="preserve">, ma </w:t>
      </w:r>
      <w:r w:rsidR="00021568" w:rsidRPr="00021568">
        <w:rPr>
          <w:rFonts w:ascii="Garamond" w:hAnsi="Garamond" w:cs="Garamond"/>
          <w:b/>
        </w:rPr>
        <w:t>alle condizioni specificamente previste dall’art. 14 comma 4bis del D.L. 189/16</w:t>
      </w:r>
      <w:r w:rsidR="00021568">
        <w:rPr>
          <w:rFonts w:ascii="Garamond" w:hAnsi="Garamond" w:cs="Garamond"/>
        </w:rPr>
        <w:t xml:space="preserve"> (v. oltre)</w:t>
      </w:r>
      <w:r w:rsidR="0016540F">
        <w:rPr>
          <w:rFonts w:ascii="Garamond" w:hAnsi="Garamond" w:cs="Garamond"/>
        </w:rPr>
        <w:t>.</w:t>
      </w:r>
    </w:p>
    <w:p w:rsidR="00F10DB1" w:rsidRDefault="00F10DB1" w:rsidP="007A4C16">
      <w:pPr>
        <w:pStyle w:val="NormaleWeb"/>
        <w:jc w:val="both"/>
        <w:rPr>
          <w:rFonts w:ascii="Garamond" w:hAnsi="Garamond" w:cs="Garamond"/>
          <w:bCs/>
        </w:rPr>
      </w:pPr>
      <w:r w:rsidRPr="009A4D48">
        <w:rPr>
          <w:rFonts w:ascii="Garamond" w:hAnsi="Garamond" w:cs="Garamond"/>
          <w:b/>
        </w:rPr>
        <w:t>B)</w:t>
      </w:r>
      <w:r>
        <w:rPr>
          <w:rFonts w:ascii="Garamond" w:hAnsi="Garamond" w:cs="Garamond"/>
        </w:rPr>
        <w:t xml:space="preserve"> </w:t>
      </w:r>
      <w:r w:rsidR="004C5B4B" w:rsidRPr="004C5B4B">
        <w:rPr>
          <w:rFonts w:ascii="Garamond" w:hAnsi="Garamond" w:cs="Garamond"/>
          <w:bCs/>
        </w:rPr>
        <w:t>P</w:t>
      </w:r>
      <w:r w:rsidR="004C5B4B">
        <w:rPr>
          <w:rFonts w:ascii="Garamond" w:hAnsi="Garamond" w:cs="Garamond"/>
          <w:bCs/>
        </w:rPr>
        <w:t xml:space="preserve">er interventi inerenti il sisma, è richiesta innanzitutto </w:t>
      </w:r>
      <w:r w:rsidR="004C5B4B" w:rsidRPr="00021568">
        <w:rPr>
          <w:rFonts w:ascii="Garamond" w:hAnsi="Garamond" w:cs="Garamond"/>
          <w:b/>
          <w:bCs/>
        </w:rPr>
        <w:t>l’iscrizione degli operatori nell’Elenco speciale dei professionisti</w:t>
      </w:r>
      <w:r w:rsidR="004C5B4B" w:rsidRPr="004C5B4B">
        <w:rPr>
          <w:rFonts w:ascii="Garamond" w:hAnsi="Garamond" w:cs="Garamond"/>
          <w:bCs/>
        </w:rPr>
        <w:t xml:space="preserve"> </w:t>
      </w:r>
      <w:r w:rsidR="004C5B4B">
        <w:rPr>
          <w:rFonts w:ascii="Garamond" w:hAnsi="Garamond" w:cs="Garamond"/>
          <w:bCs/>
        </w:rPr>
        <w:t>di cui all’</w:t>
      </w:r>
      <w:r w:rsidR="004C5B4B" w:rsidRPr="004C5B4B">
        <w:rPr>
          <w:rFonts w:ascii="Garamond" w:hAnsi="Garamond" w:cs="Garamond"/>
          <w:bCs/>
        </w:rPr>
        <w:t>art. 3</w:t>
      </w:r>
      <w:r w:rsidR="00021568">
        <w:rPr>
          <w:rFonts w:ascii="Garamond" w:hAnsi="Garamond" w:cs="Garamond"/>
          <w:bCs/>
        </w:rPr>
        <w:t>4</w:t>
      </w:r>
      <w:r w:rsidR="004C5B4B" w:rsidRPr="004C5B4B">
        <w:rPr>
          <w:rFonts w:ascii="Garamond" w:hAnsi="Garamond" w:cs="Garamond"/>
          <w:bCs/>
        </w:rPr>
        <w:t xml:space="preserve"> del D.L. 189/2016 </w:t>
      </w:r>
      <w:r w:rsidR="00021568">
        <w:rPr>
          <w:rFonts w:ascii="Garamond" w:hAnsi="Garamond" w:cs="Garamond"/>
          <w:bCs/>
        </w:rPr>
        <w:t>(v. anche</w:t>
      </w:r>
      <w:r w:rsidR="004C5B4B" w:rsidRPr="004C5B4B">
        <w:rPr>
          <w:rFonts w:ascii="Garamond" w:hAnsi="Garamond" w:cs="Garamond"/>
          <w:bCs/>
        </w:rPr>
        <w:t xml:space="preserve"> Ordinanz</w:t>
      </w:r>
      <w:r w:rsidR="00021568">
        <w:rPr>
          <w:rFonts w:ascii="Garamond" w:hAnsi="Garamond" w:cs="Garamond"/>
          <w:bCs/>
        </w:rPr>
        <w:t xml:space="preserve">e commissariali </w:t>
      </w:r>
      <w:r w:rsidR="004C5B4B" w:rsidRPr="004C5B4B">
        <w:rPr>
          <w:rFonts w:ascii="Garamond" w:hAnsi="Garamond" w:cs="Garamond"/>
          <w:bCs/>
        </w:rPr>
        <w:t>n</w:t>
      </w:r>
      <w:r w:rsidR="00021568">
        <w:rPr>
          <w:rFonts w:ascii="Garamond" w:hAnsi="Garamond" w:cs="Garamond"/>
          <w:bCs/>
        </w:rPr>
        <w:t>n</w:t>
      </w:r>
      <w:r w:rsidR="004C5B4B" w:rsidRPr="004C5B4B">
        <w:rPr>
          <w:rFonts w:ascii="Garamond" w:hAnsi="Garamond" w:cs="Garamond"/>
          <w:bCs/>
        </w:rPr>
        <w:t>. 12 del 9 gennaio 2017</w:t>
      </w:r>
      <w:r w:rsidR="00021568">
        <w:rPr>
          <w:rFonts w:ascii="Garamond" w:hAnsi="Garamond" w:cs="Garamond"/>
          <w:bCs/>
        </w:rPr>
        <w:t xml:space="preserve"> e 33 dell’11 luglio 2017)</w:t>
      </w:r>
      <w:r w:rsidR="004C5B4B" w:rsidRPr="004C5B4B">
        <w:rPr>
          <w:rFonts w:ascii="Garamond" w:hAnsi="Garamond" w:cs="Garamond"/>
          <w:bCs/>
        </w:rPr>
        <w:t xml:space="preserve">. </w:t>
      </w:r>
      <w:r w:rsidR="004C5B4B">
        <w:rPr>
          <w:rFonts w:ascii="Garamond" w:hAnsi="Garamond" w:cs="Garamond"/>
          <w:bCs/>
        </w:rPr>
        <w:t>Al riguardo, l’ANAC ha già avuto modo di segnalare come, nell’attuale</w:t>
      </w:r>
      <w:r w:rsidR="004C5B4B" w:rsidRPr="004C5B4B">
        <w:rPr>
          <w:rFonts w:ascii="Garamond" w:hAnsi="Garamond" w:cs="Garamond"/>
          <w:bCs/>
        </w:rPr>
        <w:t xml:space="preserve"> oggettiva impossibilità di presentare domanda di iscrizione al suddetto elenco speciale da parte di coloro che svolgono prestazioni specialistiche, connesse e/o afferenti alle attività di progettazione </w:t>
      </w:r>
      <w:r w:rsidR="004C5B4B">
        <w:rPr>
          <w:rFonts w:ascii="Garamond" w:hAnsi="Garamond" w:cs="Garamond"/>
          <w:bCs/>
        </w:rPr>
        <w:t xml:space="preserve">ma </w:t>
      </w:r>
      <w:r w:rsidR="004C5B4B" w:rsidRPr="004C5B4B">
        <w:rPr>
          <w:rFonts w:ascii="Garamond" w:hAnsi="Garamond" w:cs="Garamond"/>
          <w:bCs/>
        </w:rPr>
        <w:t xml:space="preserve">per le quali non è prescritta l’iscrizione in apposito albo, </w:t>
      </w:r>
      <w:r w:rsidR="004C5B4B">
        <w:rPr>
          <w:rFonts w:ascii="Garamond" w:hAnsi="Garamond" w:cs="Garamond"/>
          <w:bCs/>
        </w:rPr>
        <w:t>sia necessario inserire negli atti di gara la previsione, già fatta propria dal Commissario straordinario</w:t>
      </w:r>
      <w:r w:rsidR="004C5B4B" w:rsidRPr="004C5B4B">
        <w:rPr>
          <w:rFonts w:ascii="Garamond" w:hAnsi="Garamond" w:cs="Garamond"/>
          <w:bCs/>
        </w:rPr>
        <w:t xml:space="preserve">, </w:t>
      </w:r>
      <w:r w:rsidR="004C5B4B">
        <w:rPr>
          <w:rFonts w:ascii="Garamond" w:hAnsi="Garamond" w:cs="Garamond"/>
          <w:bCs/>
        </w:rPr>
        <w:t xml:space="preserve">per cui, </w:t>
      </w:r>
      <w:r w:rsidR="004C5B4B" w:rsidRPr="004C5B4B">
        <w:rPr>
          <w:rFonts w:ascii="Garamond" w:hAnsi="Garamond" w:cs="Garamond"/>
          <w:bCs/>
        </w:rPr>
        <w:t xml:space="preserve">in luogo della iscrizione all’elenco speciale, e con effetti ad essa equivalenti, </w:t>
      </w:r>
      <w:r w:rsidR="004C5B4B">
        <w:rPr>
          <w:rFonts w:ascii="Garamond" w:hAnsi="Garamond" w:cs="Garamond"/>
          <w:bCs/>
        </w:rPr>
        <w:t xml:space="preserve">inerente la </w:t>
      </w:r>
      <w:r w:rsidR="004C5B4B" w:rsidRPr="004C5B4B">
        <w:rPr>
          <w:rFonts w:ascii="Garamond" w:hAnsi="Garamond" w:cs="Garamond"/>
          <w:bCs/>
        </w:rPr>
        <w:t>produ</w:t>
      </w:r>
      <w:r w:rsidR="004C5B4B">
        <w:rPr>
          <w:rFonts w:ascii="Garamond" w:hAnsi="Garamond" w:cs="Garamond"/>
          <w:bCs/>
        </w:rPr>
        <w:t xml:space="preserve">zione di </w:t>
      </w:r>
      <w:r w:rsidR="004C5B4B" w:rsidRPr="004C5B4B">
        <w:rPr>
          <w:rFonts w:ascii="Garamond" w:hAnsi="Garamond" w:cs="Garamond"/>
          <w:bCs/>
        </w:rPr>
        <w:t>dichiarazion</w:t>
      </w:r>
      <w:r w:rsidR="004C5B4B">
        <w:rPr>
          <w:rFonts w:ascii="Garamond" w:hAnsi="Garamond" w:cs="Garamond"/>
          <w:bCs/>
        </w:rPr>
        <w:t>i</w:t>
      </w:r>
      <w:r w:rsidR="004C5B4B" w:rsidRPr="004C5B4B">
        <w:rPr>
          <w:rFonts w:ascii="Garamond" w:hAnsi="Garamond" w:cs="Garamond"/>
          <w:bCs/>
        </w:rPr>
        <w:t>, ai sensi degli artt. 38, 46 e 47 del DPR 445/2000, che attesti</w:t>
      </w:r>
      <w:r w:rsidR="004C5B4B">
        <w:rPr>
          <w:rFonts w:ascii="Garamond" w:hAnsi="Garamond" w:cs="Garamond"/>
          <w:bCs/>
        </w:rPr>
        <w:t>no</w:t>
      </w:r>
      <w:r w:rsidR="004C5B4B" w:rsidRPr="004C5B4B">
        <w:rPr>
          <w:rFonts w:ascii="Garamond" w:hAnsi="Garamond" w:cs="Garamond"/>
          <w:bCs/>
        </w:rPr>
        <w:t xml:space="preserve"> l’esercizio di attività professionale per la quale è prescritta la sola iscrizione ad un elenco della Pubblica Amministrazione ovvero di un Ente pubblico, nonché il possesso dei requisiti prescritti ai fini dell’iscrizione nell’elenco speciale dei professionisti sopra indicato.</w:t>
      </w:r>
    </w:p>
    <w:p w:rsidR="00021568" w:rsidRDefault="00021568" w:rsidP="007A4C16">
      <w:pPr>
        <w:pStyle w:val="NormaleWeb"/>
        <w:jc w:val="both"/>
        <w:rPr>
          <w:rFonts w:ascii="Garamond" w:hAnsi="Garamond" w:cs="Garamond"/>
          <w:bCs/>
        </w:rPr>
      </w:pPr>
      <w:r w:rsidRPr="009A4D48">
        <w:rPr>
          <w:rFonts w:ascii="Garamond" w:hAnsi="Garamond" w:cs="Garamond"/>
          <w:b/>
          <w:bCs/>
        </w:rPr>
        <w:t>C)</w:t>
      </w:r>
      <w:r>
        <w:rPr>
          <w:rFonts w:ascii="Garamond" w:hAnsi="Garamond" w:cs="Garamond"/>
          <w:bCs/>
        </w:rPr>
        <w:t xml:space="preserve"> Occorre poi tener conto delle </w:t>
      </w:r>
      <w:r w:rsidRPr="00021568">
        <w:rPr>
          <w:rFonts w:ascii="Garamond" w:hAnsi="Garamond" w:cs="Garamond"/>
          <w:b/>
          <w:bCs/>
        </w:rPr>
        <w:t>limitazioni all’affidamento di incarichi tecnici</w:t>
      </w:r>
      <w:r>
        <w:rPr>
          <w:rFonts w:ascii="Garamond" w:hAnsi="Garamond" w:cs="Garamond"/>
          <w:bCs/>
        </w:rPr>
        <w:t xml:space="preserve"> derivanti, sia dal principio di rotazione (in particolare per gli affidamenti sotto soglia), che dalla normativa specifica introdotta dal Commissario straordinario (Ordinanza n. 33 dell’11 luglio 2017 che appare applicabile a tutti gli affidamenti di servizi tecnici per la ricostruzione): Al riguardo si sono introdotte negli schemi specifiche cause di esclusione.</w:t>
      </w:r>
    </w:p>
    <w:p w:rsidR="001A6F4A" w:rsidRPr="00BC724D" w:rsidRDefault="00021568" w:rsidP="007A4C16">
      <w:pPr>
        <w:pStyle w:val="NormaleWeb"/>
        <w:jc w:val="both"/>
        <w:rPr>
          <w:rFonts w:ascii="Garamond" w:hAnsi="Garamond" w:cs="Garamond"/>
        </w:rPr>
      </w:pPr>
      <w:r w:rsidRPr="009A4D48">
        <w:rPr>
          <w:rFonts w:ascii="Garamond" w:hAnsi="Garamond" w:cs="Garamond"/>
          <w:b/>
          <w:bCs/>
        </w:rPr>
        <w:t>D</w:t>
      </w:r>
      <w:r w:rsidR="001A6F4A" w:rsidRPr="009A4D48">
        <w:rPr>
          <w:rFonts w:ascii="Garamond" w:hAnsi="Garamond" w:cs="Garamond"/>
          <w:b/>
          <w:bCs/>
        </w:rPr>
        <w:t>)</w:t>
      </w:r>
      <w:r w:rsidR="001A6F4A">
        <w:rPr>
          <w:rFonts w:ascii="Garamond" w:hAnsi="Garamond" w:cs="Garamond"/>
          <w:bCs/>
        </w:rPr>
        <w:t xml:space="preserve"> L’iscrizione nell’Elenco speciale suddetto </w:t>
      </w:r>
      <w:r>
        <w:rPr>
          <w:rFonts w:ascii="Garamond" w:hAnsi="Garamond" w:cs="Garamond"/>
          <w:bCs/>
        </w:rPr>
        <w:t xml:space="preserve">e i limiti predetti </w:t>
      </w:r>
      <w:r w:rsidR="001A6F4A">
        <w:rPr>
          <w:rFonts w:ascii="Garamond" w:hAnsi="Garamond" w:cs="Garamond"/>
          <w:bCs/>
        </w:rPr>
        <w:t>peraltro non esaurisc</w:t>
      </w:r>
      <w:r>
        <w:rPr>
          <w:rFonts w:ascii="Garamond" w:hAnsi="Garamond" w:cs="Garamond"/>
          <w:bCs/>
        </w:rPr>
        <w:t>ono</w:t>
      </w:r>
      <w:r w:rsidR="001A6F4A">
        <w:rPr>
          <w:rFonts w:ascii="Garamond" w:hAnsi="Garamond" w:cs="Garamond"/>
          <w:bCs/>
        </w:rPr>
        <w:t xml:space="preserve"> il problema dei requisiti di partecipazione, per cui si deve fare riferimento alle regole generali già sopra indicate</w:t>
      </w:r>
      <w:r>
        <w:rPr>
          <w:rFonts w:ascii="Garamond" w:hAnsi="Garamond" w:cs="Garamond"/>
          <w:bCs/>
        </w:rPr>
        <w:t>, con le specificità proprie del particolare settore</w:t>
      </w:r>
      <w:r w:rsidR="001A6F4A">
        <w:rPr>
          <w:rFonts w:ascii="Garamond" w:hAnsi="Garamond" w:cs="Garamond"/>
          <w:bCs/>
        </w:rPr>
        <w:t>.</w:t>
      </w:r>
    </w:p>
    <w:p w:rsidR="00BC724D" w:rsidRDefault="00021568" w:rsidP="007A4C16">
      <w:pPr>
        <w:pStyle w:val="NormaleWeb"/>
        <w:jc w:val="both"/>
        <w:rPr>
          <w:rFonts w:ascii="Garamond" w:hAnsi="Garamond" w:cs="Garamond"/>
          <w:bCs/>
        </w:rPr>
      </w:pPr>
      <w:r w:rsidRPr="009A4D48">
        <w:rPr>
          <w:rFonts w:ascii="Garamond" w:hAnsi="Garamond" w:cs="Garamond"/>
          <w:b/>
        </w:rPr>
        <w:t>E</w:t>
      </w:r>
      <w:r w:rsidR="004C5B4B" w:rsidRPr="009A4D48">
        <w:rPr>
          <w:rFonts w:ascii="Garamond" w:hAnsi="Garamond" w:cs="Garamond"/>
          <w:b/>
        </w:rPr>
        <w:t>)</w:t>
      </w:r>
      <w:r w:rsidR="004C5B4B" w:rsidRPr="004C5B4B">
        <w:rPr>
          <w:rFonts w:ascii="Garamond" w:hAnsi="Garamond" w:cs="Garamond"/>
        </w:rPr>
        <w:t xml:space="preserve"> </w:t>
      </w:r>
      <w:r w:rsidR="001A6F4A">
        <w:rPr>
          <w:rFonts w:ascii="Garamond" w:hAnsi="Garamond" w:cs="Garamond"/>
        </w:rPr>
        <w:t>E’ stato</w:t>
      </w:r>
      <w:r w:rsidR="004C5B4B">
        <w:rPr>
          <w:rFonts w:ascii="Garamond" w:hAnsi="Garamond" w:cs="Garamond"/>
        </w:rPr>
        <w:t xml:space="preserve"> </w:t>
      </w:r>
      <w:r w:rsidR="001A6F4A">
        <w:rPr>
          <w:rFonts w:ascii="Garamond" w:hAnsi="Garamond" w:cs="Garamond"/>
        </w:rPr>
        <w:t xml:space="preserve">pure </w:t>
      </w:r>
      <w:r w:rsidR="004C5B4B">
        <w:rPr>
          <w:rFonts w:ascii="Garamond" w:hAnsi="Garamond" w:cs="Garamond"/>
        </w:rPr>
        <w:t xml:space="preserve">già </w:t>
      </w:r>
      <w:r w:rsidR="001A6F4A">
        <w:rPr>
          <w:rFonts w:ascii="Garamond" w:hAnsi="Garamond" w:cs="Garamond"/>
        </w:rPr>
        <w:t>segnala</w:t>
      </w:r>
      <w:r>
        <w:rPr>
          <w:rFonts w:ascii="Garamond" w:hAnsi="Garamond" w:cs="Garamond"/>
        </w:rPr>
        <w:t>ta</w:t>
      </w:r>
      <w:r w:rsidR="004C5B4B">
        <w:rPr>
          <w:rFonts w:ascii="Garamond" w:hAnsi="Garamond" w:cs="Garamond"/>
        </w:rPr>
        <w:t xml:space="preserve"> dall’ANAC</w:t>
      </w:r>
      <w:r w:rsidR="001A6F4A">
        <w:rPr>
          <w:rFonts w:ascii="Garamond" w:hAnsi="Garamond" w:cs="Garamond"/>
        </w:rPr>
        <w:t xml:space="preserve"> l’esigenza di inserire</w:t>
      </w:r>
      <w:r w:rsidR="004C5B4B">
        <w:rPr>
          <w:rFonts w:ascii="Garamond" w:hAnsi="Garamond" w:cs="Garamond"/>
        </w:rPr>
        <w:t xml:space="preserve"> negli atti di gara (</w:t>
      </w:r>
      <w:r w:rsidR="001A6F4A">
        <w:rPr>
          <w:rFonts w:ascii="Garamond" w:hAnsi="Garamond" w:cs="Garamond"/>
        </w:rPr>
        <w:t xml:space="preserve">e </w:t>
      </w:r>
      <w:r w:rsidR="004C5B4B">
        <w:rPr>
          <w:rFonts w:ascii="Garamond" w:hAnsi="Garamond" w:cs="Garamond"/>
        </w:rPr>
        <w:t>fin dall’</w:t>
      </w:r>
      <w:r w:rsidR="001A6F4A">
        <w:rPr>
          <w:rFonts w:ascii="Garamond" w:hAnsi="Garamond" w:cs="Garamond"/>
        </w:rPr>
        <w:t xml:space="preserve">eventuale </w:t>
      </w:r>
      <w:r w:rsidR="004C5B4B">
        <w:rPr>
          <w:rFonts w:ascii="Garamond" w:hAnsi="Garamond" w:cs="Garamond"/>
        </w:rPr>
        <w:t>avviso per indagine di mercato)</w:t>
      </w:r>
      <w:r>
        <w:rPr>
          <w:rFonts w:ascii="Garamond" w:hAnsi="Garamond" w:cs="Garamond"/>
        </w:rPr>
        <w:t xml:space="preserve"> il richiamo espresso al</w:t>
      </w:r>
      <w:r w:rsidR="004C5B4B">
        <w:rPr>
          <w:rFonts w:ascii="Garamond" w:hAnsi="Garamond" w:cs="Garamond"/>
        </w:rPr>
        <w:t xml:space="preserve"> </w:t>
      </w:r>
      <w:r w:rsidR="004C5B4B" w:rsidRPr="00021568">
        <w:rPr>
          <w:rFonts w:ascii="Garamond" w:hAnsi="Garamond" w:cs="Garamond"/>
          <w:b/>
          <w:bCs/>
        </w:rPr>
        <w:t>Protocollo di legalità</w:t>
      </w:r>
      <w:r w:rsidR="001A6F4A">
        <w:rPr>
          <w:rFonts w:ascii="Garamond" w:hAnsi="Garamond" w:cs="Garamond"/>
          <w:bCs/>
        </w:rPr>
        <w:t xml:space="preserve"> (</w:t>
      </w:r>
      <w:r w:rsidR="004C5B4B" w:rsidRPr="004C5B4B">
        <w:rPr>
          <w:rFonts w:ascii="Garamond" w:hAnsi="Garamond" w:cs="Garamond"/>
          <w:bCs/>
        </w:rPr>
        <w:t>sottoscritto il 26 luglio 2017 tra Commissario straordinario del Governo, Struttura di Missione e Centrale Unica di Committenza</w:t>
      </w:r>
      <w:r w:rsidR="001A6F4A">
        <w:rPr>
          <w:rFonts w:ascii="Garamond" w:hAnsi="Garamond" w:cs="Garamond"/>
          <w:bCs/>
        </w:rPr>
        <w:t xml:space="preserve"> regionale)</w:t>
      </w:r>
      <w:r w:rsidR="004C5B4B">
        <w:rPr>
          <w:rFonts w:ascii="Garamond" w:hAnsi="Garamond" w:cs="Garamond"/>
          <w:bCs/>
        </w:rPr>
        <w:t xml:space="preserve">, </w:t>
      </w:r>
      <w:r>
        <w:rPr>
          <w:rFonts w:ascii="Garamond" w:hAnsi="Garamond" w:cs="Garamond"/>
          <w:bCs/>
        </w:rPr>
        <w:t>l’</w:t>
      </w:r>
      <w:r w:rsidR="004C5B4B">
        <w:rPr>
          <w:rFonts w:ascii="Garamond" w:hAnsi="Garamond" w:cs="Garamond"/>
          <w:bCs/>
        </w:rPr>
        <w:t xml:space="preserve">espressa accettazione </w:t>
      </w:r>
      <w:r>
        <w:rPr>
          <w:rFonts w:ascii="Garamond" w:hAnsi="Garamond" w:cs="Garamond"/>
          <w:bCs/>
        </w:rPr>
        <w:t xml:space="preserve">da parte degli operatori privati </w:t>
      </w:r>
      <w:r w:rsidR="004C5B4B">
        <w:rPr>
          <w:rFonts w:ascii="Garamond" w:hAnsi="Garamond" w:cs="Garamond"/>
          <w:bCs/>
        </w:rPr>
        <w:t xml:space="preserve">delle </w:t>
      </w:r>
      <w:r>
        <w:rPr>
          <w:rFonts w:ascii="Garamond" w:hAnsi="Garamond" w:cs="Garamond"/>
          <w:bCs/>
        </w:rPr>
        <w:t>clausole desumibili (</w:t>
      </w:r>
      <w:r w:rsidR="004C5B4B">
        <w:rPr>
          <w:rFonts w:ascii="Garamond" w:hAnsi="Garamond" w:cs="Garamond"/>
          <w:bCs/>
        </w:rPr>
        <w:t>a pena di esclusione dalla procedura di gara</w:t>
      </w:r>
      <w:r>
        <w:rPr>
          <w:rFonts w:ascii="Garamond" w:hAnsi="Garamond" w:cs="Garamond"/>
          <w:bCs/>
        </w:rPr>
        <w:t>) e la necessità di riprodurre le dette clausole nei disciplinari di gara e nei contratti di affidamento</w:t>
      </w:r>
      <w:r w:rsidR="009A4D48">
        <w:rPr>
          <w:rFonts w:ascii="Garamond" w:hAnsi="Garamond" w:cs="Garamond"/>
          <w:bCs/>
        </w:rPr>
        <w:t xml:space="preserve"> degli incarichi</w:t>
      </w:r>
      <w:r w:rsidR="004C5B4B">
        <w:rPr>
          <w:rFonts w:ascii="Garamond" w:hAnsi="Garamond" w:cs="Garamond"/>
          <w:bCs/>
        </w:rPr>
        <w:t>.</w:t>
      </w:r>
    </w:p>
    <w:p w:rsidR="00C84D8D" w:rsidRPr="008E5CDA" w:rsidRDefault="00C84D8D" w:rsidP="007A4C16">
      <w:pPr>
        <w:pStyle w:val="NormaleWeb"/>
        <w:jc w:val="both"/>
        <w:rPr>
          <w:rFonts w:ascii="Garamond" w:hAnsi="Garamond" w:cs="Garamond"/>
          <w:b/>
        </w:rPr>
      </w:pPr>
      <w:r w:rsidRPr="008E5CDA">
        <w:rPr>
          <w:rFonts w:ascii="Garamond" w:hAnsi="Garamond" w:cs="Garamond"/>
          <w:b/>
        </w:rPr>
        <w:t>AFFIDAMENTI INFERIORI A 40.000 EURO</w:t>
      </w:r>
      <w:r w:rsidR="008E5CDA">
        <w:rPr>
          <w:rFonts w:ascii="Garamond" w:hAnsi="Garamond" w:cs="Garamond"/>
          <w:b/>
        </w:rPr>
        <w:t xml:space="preserve"> – AVVISO PER INDAGINE DI MERCATO</w:t>
      </w:r>
    </w:p>
    <w:p w:rsidR="004D0D88" w:rsidRDefault="00A267D3" w:rsidP="00911CFE">
      <w:pPr>
        <w:pStyle w:val="NormaleWeb"/>
        <w:jc w:val="both"/>
        <w:rPr>
          <w:rFonts w:ascii="Garamond" w:hAnsi="Garamond" w:cs="Garamond"/>
        </w:rPr>
      </w:pPr>
      <w:r>
        <w:rPr>
          <w:rFonts w:ascii="Garamond" w:hAnsi="Garamond" w:cs="Garamond"/>
        </w:rPr>
        <w:t xml:space="preserve">Nessuna deroga particolare ha riguardato ovviamente la procedura semplificata in oggetto, </w:t>
      </w:r>
      <w:r w:rsidR="00A679BB">
        <w:rPr>
          <w:rFonts w:ascii="Garamond" w:hAnsi="Garamond" w:cs="Garamond"/>
        </w:rPr>
        <w:t>mentre si è prevista</w:t>
      </w:r>
      <w:r>
        <w:rPr>
          <w:rFonts w:ascii="Garamond" w:hAnsi="Garamond" w:cs="Garamond"/>
        </w:rPr>
        <w:t xml:space="preserve"> l’</w:t>
      </w:r>
      <w:r w:rsidR="00A679BB">
        <w:rPr>
          <w:rFonts w:ascii="Garamond" w:hAnsi="Garamond" w:cs="Garamond"/>
        </w:rPr>
        <w:t xml:space="preserve">applicazione anche qui di quanto indicato </w:t>
      </w:r>
      <w:r>
        <w:rPr>
          <w:rFonts w:ascii="Garamond" w:hAnsi="Garamond" w:cs="Garamond"/>
        </w:rPr>
        <w:t xml:space="preserve">ai </w:t>
      </w:r>
      <w:r w:rsidR="00A679BB">
        <w:rPr>
          <w:rFonts w:ascii="Garamond" w:hAnsi="Garamond" w:cs="Garamond"/>
        </w:rPr>
        <w:t xml:space="preserve">punti B), C) </w:t>
      </w:r>
      <w:r>
        <w:rPr>
          <w:rFonts w:ascii="Garamond" w:hAnsi="Garamond" w:cs="Garamond"/>
        </w:rPr>
        <w:t>e</w:t>
      </w:r>
      <w:r w:rsidR="00A679BB">
        <w:rPr>
          <w:rFonts w:ascii="Garamond" w:hAnsi="Garamond" w:cs="Garamond"/>
        </w:rPr>
        <w:t>d</w:t>
      </w:r>
      <w:r>
        <w:rPr>
          <w:rFonts w:ascii="Garamond" w:hAnsi="Garamond" w:cs="Garamond"/>
        </w:rPr>
        <w:t xml:space="preserve"> </w:t>
      </w:r>
      <w:r w:rsidR="00A679BB">
        <w:rPr>
          <w:rFonts w:ascii="Garamond" w:hAnsi="Garamond" w:cs="Garamond"/>
        </w:rPr>
        <w:t>E</w:t>
      </w:r>
      <w:r w:rsidR="000E201E">
        <w:rPr>
          <w:rFonts w:ascii="Garamond" w:hAnsi="Garamond" w:cs="Garamond"/>
        </w:rPr>
        <w:t>)</w:t>
      </w:r>
      <w:r w:rsidR="00A679BB">
        <w:rPr>
          <w:rFonts w:ascii="Garamond" w:hAnsi="Garamond" w:cs="Garamond"/>
        </w:rPr>
        <w:t xml:space="preserve"> del precedente paragrafo</w:t>
      </w:r>
      <w:r w:rsidR="000E201E">
        <w:rPr>
          <w:rFonts w:ascii="Garamond" w:hAnsi="Garamond" w:cs="Garamond"/>
        </w:rPr>
        <w:t>.</w:t>
      </w:r>
    </w:p>
    <w:p w:rsidR="00C84D8D" w:rsidRPr="00C84D8D" w:rsidRDefault="00911CFE" w:rsidP="00911CFE">
      <w:pPr>
        <w:pStyle w:val="NormaleWeb"/>
        <w:jc w:val="both"/>
        <w:rPr>
          <w:rFonts w:ascii="Garamond" w:hAnsi="Garamond" w:cs="Garamond"/>
        </w:rPr>
      </w:pPr>
      <w:r>
        <w:rPr>
          <w:rFonts w:ascii="Garamond" w:hAnsi="Garamond" w:cs="Garamond"/>
        </w:rPr>
        <w:t>I</w:t>
      </w:r>
      <w:r w:rsidR="00DA0C15">
        <w:rPr>
          <w:rFonts w:ascii="Garamond" w:hAnsi="Garamond" w:cs="Garamond"/>
        </w:rPr>
        <w:t>l novellato art. 32, co. 2, del codice, con riferimento alla determina a contrarre in forma semplificata</w:t>
      </w:r>
      <w:r>
        <w:rPr>
          <w:rFonts w:ascii="Garamond" w:hAnsi="Garamond" w:cs="Garamond"/>
        </w:rPr>
        <w:t>, stabilisce che:</w:t>
      </w:r>
      <w:r w:rsidR="00C84D8D">
        <w:rPr>
          <w:rFonts w:ascii="Garamond" w:hAnsi="Garamond" w:cs="Garamond"/>
        </w:rPr>
        <w:t xml:space="preserve"> </w:t>
      </w:r>
      <w:r>
        <w:rPr>
          <w:rFonts w:ascii="Garamond" w:hAnsi="Garamond" w:cs="Garamond"/>
        </w:rPr>
        <w:t>“</w:t>
      </w:r>
      <w:r w:rsidR="00C84D8D" w:rsidRPr="00911CFE">
        <w:rPr>
          <w:rFonts w:ascii="Garamond" w:hAnsi="Garamond" w:cs="Garamond"/>
          <w:i/>
        </w:rPr>
        <w:t xml:space="preserve">2.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w:t>
      </w:r>
      <w:r w:rsidR="00C84D8D" w:rsidRPr="00FE12F8">
        <w:rPr>
          <w:rFonts w:ascii="Garamond" w:hAnsi="Garamond" w:cs="Garamond"/>
          <w:b/>
          <w:i/>
        </w:rPr>
        <w:t>Nella procedura di cui all’</w:t>
      </w:r>
      <w:hyperlink r:id="rId8" w:anchor="036" w:history="1">
        <w:r w:rsidR="00C84D8D" w:rsidRPr="00FE12F8">
          <w:rPr>
            <w:rFonts w:ascii="Garamond" w:hAnsi="Garamond" w:cs="Garamond"/>
            <w:b/>
            <w:i/>
          </w:rPr>
          <w:t>articolo 36, comma 2, lettera a)</w:t>
        </w:r>
      </w:hyperlink>
      <w:r w:rsidR="00C84D8D" w:rsidRPr="00FE12F8">
        <w:rPr>
          <w:rFonts w:ascii="Garamond" w:hAnsi="Garamond" w:cs="Garamond"/>
          <w:b/>
          <w:i/>
        </w:rPr>
        <w:t>, 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00C84D8D" w:rsidRPr="00C84D8D">
        <w:rPr>
          <w:rFonts w:ascii="Garamond" w:hAnsi="Garamond" w:cs="Garamond"/>
        </w:rPr>
        <w:t>.</w:t>
      </w:r>
      <w:r>
        <w:rPr>
          <w:rFonts w:ascii="Garamond" w:hAnsi="Garamond" w:cs="Garamond"/>
        </w:rPr>
        <w:t>”</w:t>
      </w:r>
    </w:p>
    <w:p w:rsidR="008E5CDA" w:rsidRDefault="008E5CDA" w:rsidP="00FE12F8">
      <w:pPr>
        <w:pStyle w:val="NormaleWeb"/>
        <w:jc w:val="both"/>
        <w:rPr>
          <w:rFonts w:ascii="Garamond" w:hAnsi="Garamond" w:cs="Garamond"/>
        </w:rPr>
      </w:pPr>
      <w:r>
        <w:rPr>
          <w:rFonts w:ascii="Garamond" w:hAnsi="Garamond" w:cs="Garamond"/>
        </w:rPr>
        <w:t>In base ai principi generali (</w:t>
      </w:r>
      <w:r w:rsidRPr="00A679BB">
        <w:rPr>
          <w:rFonts w:ascii="Garamond" w:hAnsi="Garamond" w:cs="Garamond"/>
          <w:b/>
        </w:rPr>
        <w:t xml:space="preserve">art. 4 </w:t>
      </w:r>
      <w:r w:rsidR="00A679BB">
        <w:rPr>
          <w:rFonts w:ascii="Garamond" w:hAnsi="Garamond" w:cs="Garamond"/>
          <w:b/>
        </w:rPr>
        <w:t>C</w:t>
      </w:r>
      <w:r w:rsidRPr="00A679BB">
        <w:rPr>
          <w:rFonts w:ascii="Garamond" w:hAnsi="Garamond" w:cs="Garamond"/>
          <w:b/>
        </w:rPr>
        <w:t>odice</w:t>
      </w:r>
      <w:r>
        <w:rPr>
          <w:rFonts w:ascii="Garamond" w:hAnsi="Garamond" w:cs="Garamond"/>
        </w:rPr>
        <w:t xml:space="preserve">), </w:t>
      </w:r>
      <w:r w:rsidR="000E201E">
        <w:rPr>
          <w:rFonts w:ascii="Garamond" w:hAnsi="Garamond" w:cs="Garamond"/>
        </w:rPr>
        <w:t xml:space="preserve">tuttavia, appare inevitabile che </w:t>
      </w:r>
      <w:r>
        <w:rPr>
          <w:rFonts w:ascii="Garamond" w:hAnsi="Garamond" w:cs="Garamond"/>
        </w:rPr>
        <w:t xml:space="preserve">la individuazione del soggetto con il quale contrarre </w:t>
      </w:r>
      <w:r w:rsidR="000E201E">
        <w:rPr>
          <w:rFonts w:ascii="Garamond" w:hAnsi="Garamond" w:cs="Garamond"/>
        </w:rPr>
        <w:t>debba</w:t>
      </w:r>
      <w:r>
        <w:rPr>
          <w:rFonts w:ascii="Garamond" w:hAnsi="Garamond" w:cs="Garamond"/>
        </w:rPr>
        <w:t xml:space="preserve"> essere attuata attraverso </w:t>
      </w:r>
      <w:r w:rsidR="000837D4">
        <w:rPr>
          <w:rFonts w:ascii="Garamond" w:hAnsi="Garamond" w:cs="Garamond"/>
        </w:rPr>
        <w:t>avviso per indagine di mercato</w:t>
      </w:r>
      <w:r w:rsidR="00676595">
        <w:rPr>
          <w:rFonts w:ascii="Garamond" w:hAnsi="Garamond" w:cs="Garamond"/>
        </w:rPr>
        <w:t xml:space="preserve"> (in alternativa agli elenchi</w:t>
      </w:r>
      <w:r w:rsidR="00A267D3">
        <w:rPr>
          <w:rFonts w:ascii="Garamond" w:hAnsi="Garamond" w:cs="Garamond"/>
        </w:rPr>
        <w:t xml:space="preserve"> di fornitori</w:t>
      </w:r>
      <w:r w:rsidR="00676595">
        <w:rPr>
          <w:rFonts w:ascii="Garamond" w:hAnsi="Garamond" w:cs="Garamond"/>
        </w:rPr>
        <w:t>)</w:t>
      </w:r>
      <w:r w:rsidR="00A679BB">
        <w:rPr>
          <w:rFonts w:ascii="Garamond" w:hAnsi="Garamond" w:cs="Garamond"/>
        </w:rPr>
        <w:t>, secondo le indicazioni da tempo già fornite dall’ANAC con le Linee Guida n. 4/16</w:t>
      </w:r>
      <w:r w:rsidR="000837D4">
        <w:rPr>
          <w:rFonts w:ascii="Garamond" w:hAnsi="Garamond" w:cs="Garamond"/>
        </w:rPr>
        <w:t>.</w:t>
      </w:r>
    </w:p>
    <w:p w:rsidR="00FE12F8" w:rsidRPr="002F1309" w:rsidRDefault="00A679BB" w:rsidP="00FE12F8">
      <w:pPr>
        <w:pStyle w:val="NormaleWeb"/>
        <w:jc w:val="both"/>
        <w:rPr>
          <w:rFonts w:ascii="Garamond" w:hAnsi="Garamond" w:cs="Garamond"/>
          <w:b/>
        </w:rPr>
      </w:pPr>
      <w:r>
        <w:rPr>
          <w:rFonts w:ascii="Garamond" w:hAnsi="Garamond" w:cs="Garamond"/>
          <w:b/>
        </w:rPr>
        <w:t xml:space="preserve">Ed è </w:t>
      </w:r>
      <w:r w:rsidR="00FE12F8" w:rsidRPr="002F1309">
        <w:rPr>
          <w:rFonts w:ascii="Garamond" w:hAnsi="Garamond" w:cs="Garamond"/>
          <w:b/>
        </w:rPr>
        <w:t>opportuno che le stazioni appaltanti, al fine di garantire una maggiore partecipazione, inviino copia dell’avviso relativo all’avvi</w:t>
      </w:r>
      <w:r>
        <w:rPr>
          <w:rFonts w:ascii="Garamond" w:hAnsi="Garamond" w:cs="Garamond"/>
          <w:b/>
        </w:rPr>
        <w:t>s</w:t>
      </w:r>
      <w:r w:rsidR="00FE12F8" w:rsidRPr="002F1309">
        <w:rPr>
          <w:rFonts w:ascii="Garamond" w:hAnsi="Garamond" w:cs="Garamond"/>
          <w:b/>
        </w:rPr>
        <w:t xml:space="preserve">o </w:t>
      </w:r>
      <w:r>
        <w:rPr>
          <w:rFonts w:ascii="Garamond" w:hAnsi="Garamond" w:cs="Garamond"/>
          <w:b/>
        </w:rPr>
        <w:t xml:space="preserve">per </w:t>
      </w:r>
      <w:r w:rsidR="00FE12F8" w:rsidRPr="002F1309">
        <w:rPr>
          <w:rFonts w:ascii="Garamond" w:hAnsi="Garamond" w:cs="Garamond"/>
          <w:b/>
        </w:rPr>
        <w:t xml:space="preserve">indagine di mercato agli ordini professionali, nazionali e territoriali </w:t>
      </w:r>
      <w:r w:rsidR="00FE12F8" w:rsidRPr="00A679BB">
        <w:rPr>
          <w:rFonts w:ascii="Garamond" w:hAnsi="Garamond" w:cs="Garamond"/>
        </w:rPr>
        <w:t>(</w:t>
      </w:r>
      <w:r w:rsidR="00C3389C" w:rsidRPr="00A679BB">
        <w:rPr>
          <w:rFonts w:ascii="Garamond" w:hAnsi="Garamond" w:cs="Garamond"/>
        </w:rPr>
        <w:t xml:space="preserve">le </w:t>
      </w:r>
      <w:r w:rsidR="00FE12F8" w:rsidRPr="00A679BB">
        <w:rPr>
          <w:rFonts w:ascii="Garamond" w:hAnsi="Garamond" w:cs="Garamond"/>
        </w:rPr>
        <w:t>Linee Guida</w:t>
      </w:r>
      <w:r w:rsidR="00C3389C" w:rsidRPr="00A679BB">
        <w:rPr>
          <w:rFonts w:ascii="Garamond" w:hAnsi="Garamond" w:cs="Garamond"/>
        </w:rPr>
        <w:t xml:space="preserve"> prevedono tale regola per gli affidamenti superiori, ma si ritiene la prassi estensibile anche ai presenti affidamenti minimi)</w:t>
      </w:r>
      <w:r w:rsidR="008E5CDA" w:rsidRPr="00A679BB">
        <w:rPr>
          <w:rFonts w:ascii="Garamond" w:hAnsi="Garamond" w:cs="Garamond"/>
        </w:rPr>
        <w:t>.</w:t>
      </w:r>
      <w:r w:rsidR="002F1309" w:rsidRPr="002F1309">
        <w:rPr>
          <w:rFonts w:ascii="Garamond" w:hAnsi="Garamond" w:cs="Garamond"/>
          <w:b/>
        </w:rPr>
        <w:t xml:space="preserve"> Inoltre è opportuna la pubblicazione di tutti gli avvisi e bandi anche sul sito del Vice-Commissario straordinario per la ricostruzione per la Regione Marche.</w:t>
      </w:r>
    </w:p>
    <w:p w:rsidR="008E5CDA" w:rsidRPr="00FE12F8" w:rsidRDefault="008E5CDA" w:rsidP="00FE12F8">
      <w:pPr>
        <w:pStyle w:val="NormaleWeb"/>
        <w:jc w:val="both"/>
        <w:rPr>
          <w:rFonts w:ascii="Garamond" w:hAnsi="Garamond" w:cs="Garamond"/>
        </w:rPr>
      </w:pPr>
      <w:r>
        <w:rPr>
          <w:rFonts w:ascii="Garamond" w:hAnsi="Garamond" w:cs="Garamond"/>
        </w:rPr>
        <w:t>Quanto ai requisiti di partecipazione, soccorr</w:t>
      </w:r>
      <w:r w:rsidR="000837D4">
        <w:rPr>
          <w:rFonts w:ascii="Garamond" w:hAnsi="Garamond" w:cs="Garamond"/>
        </w:rPr>
        <w:t>ono, compatibilmente con l’entità dell’affidamento, le indicazioni fornite dall’ANAC</w:t>
      </w:r>
      <w:r w:rsidR="00811868">
        <w:rPr>
          <w:rFonts w:ascii="Garamond" w:hAnsi="Garamond" w:cs="Garamond"/>
        </w:rPr>
        <w:t xml:space="preserve"> nelle Linee Guida n. 1/16 (</w:t>
      </w:r>
      <w:r>
        <w:rPr>
          <w:rFonts w:ascii="Garamond" w:hAnsi="Garamond" w:cs="Garamond"/>
        </w:rPr>
        <w:t xml:space="preserve">sia </w:t>
      </w:r>
      <w:r w:rsidR="000837D4">
        <w:rPr>
          <w:rFonts w:ascii="Garamond" w:hAnsi="Garamond" w:cs="Garamond"/>
        </w:rPr>
        <w:t>quelle</w:t>
      </w:r>
      <w:r>
        <w:rPr>
          <w:rFonts w:ascii="Garamond" w:hAnsi="Garamond" w:cs="Garamond"/>
        </w:rPr>
        <w:t xml:space="preserve"> relative alla formazione degli elenchi di professionisti, che </w:t>
      </w:r>
      <w:r w:rsidR="000837D4">
        <w:rPr>
          <w:rFonts w:ascii="Garamond" w:hAnsi="Garamond" w:cs="Garamond"/>
        </w:rPr>
        <w:t>quelle</w:t>
      </w:r>
      <w:r>
        <w:rPr>
          <w:rFonts w:ascii="Garamond" w:hAnsi="Garamond" w:cs="Garamond"/>
        </w:rPr>
        <w:t xml:space="preserve"> formulate dall’Autorità per gli affidamenti superiori a 40.000 euro</w:t>
      </w:r>
      <w:r w:rsidR="00811868">
        <w:rPr>
          <w:rFonts w:ascii="Garamond" w:hAnsi="Garamond" w:cs="Garamond"/>
        </w:rPr>
        <w:t>), aggiornate come da documento di consultazione per l’adeguamento al correttivo e declinate negli schemi proposti come già sopra evidenziato</w:t>
      </w:r>
      <w:r>
        <w:rPr>
          <w:rFonts w:ascii="Garamond" w:hAnsi="Garamond" w:cs="Garamond"/>
        </w:rPr>
        <w:t>.</w:t>
      </w:r>
    </w:p>
    <w:p w:rsidR="000E5BA0" w:rsidRDefault="000E201E" w:rsidP="00FE12F8">
      <w:pPr>
        <w:pStyle w:val="NormaleWeb"/>
        <w:jc w:val="both"/>
        <w:rPr>
          <w:rFonts w:ascii="Garamond" w:hAnsi="Garamond" w:cs="Garamond"/>
        </w:rPr>
      </w:pPr>
      <w:r>
        <w:rPr>
          <w:rFonts w:ascii="Garamond" w:hAnsi="Garamond" w:cs="Garamond"/>
        </w:rPr>
        <w:t>In base alle regole generali (q</w:t>
      </w:r>
      <w:r w:rsidR="00FE12F8" w:rsidRPr="00FE12F8">
        <w:rPr>
          <w:rFonts w:ascii="Garamond" w:hAnsi="Garamond" w:cs="Garamond"/>
        </w:rPr>
        <w:t xml:space="preserve">ualora </w:t>
      </w:r>
      <w:r>
        <w:rPr>
          <w:rFonts w:ascii="Garamond" w:hAnsi="Garamond" w:cs="Garamond"/>
        </w:rPr>
        <w:t xml:space="preserve">peraltro </w:t>
      </w:r>
      <w:r w:rsidR="00FE12F8" w:rsidRPr="00FE12F8">
        <w:rPr>
          <w:rFonts w:ascii="Garamond" w:hAnsi="Garamond" w:cs="Garamond"/>
        </w:rPr>
        <w:t xml:space="preserve">non si intenda invitare </w:t>
      </w:r>
      <w:r w:rsidR="00BF6479">
        <w:rPr>
          <w:rFonts w:ascii="Garamond" w:hAnsi="Garamond" w:cs="Garamond"/>
        </w:rPr>
        <w:t xml:space="preserve">a successiva gara informale </w:t>
      </w:r>
      <w:r w:rsidR="00FE12F8" w:rsidRPr="00FE12F8">
        <w:rPr>
          <w:rFonts w:ascii="Garamond" w:hAnsi="Garamond" w:cs="Garamond"/>
        </w:rPr>
        <w:t>tutti coloro che</w:t>
      </w:r>
      <w:r w:rsidR="00676595">
        <w:rPr>
          <w:rFonts w:ascii="Garamond" w:hAnsi="Garamond" w:cs="Garamond"/>
        </w:rPr>
        <w:t>,</w:t>
      </w:r>
      <w:r w:rsidR="00FE12F8" w:rsidRPr="00FE12F8">
        <w:rPr>
          <w:rFonts w:ascii="Garamond" w:hAnsi="Garamond" w:cs="Garamond"/>
        </w:rPr>
        <w:t xml:space="preserve"> </w:t>
      </w:r>
      <w:r w:rsidR="00676595" w:rsidRPr="00FE12F8">
        <w:rPr>
          <w:rFonts w:ascii="Garamond" w:hAnsi="Garamond" w:cs="Garamond"/>
        </w:rPr>
        <w:t>individuati tramite indagine di mercato</w:t>
      </w:r>
      <w:r w:rsidR="00676595">
        <w:rPr>
          <w:rFonts w:ascii="Garamond" w:hAnsi="Garamond" w:cs="Garamond"/>
        </w:rPr>
        <w:t xml:space="preserve">, </w:t>
      </w:r>
      <w:r w:rsidR="00FE12F8" w:rsidRPr="00FE12F8">
        <w:rPr>
          <w:rFonts w:ascii="Garamond" w:hAnsi="Garamond" w:cs="Garamond"/>
        </w:rPr>
        <w:t>sono in possesso dei prescritti requisiti</w:t>
      </w:r>
      <w:r>
        <w:rPr>
          <w:rFonts w:ascii="Garamond" w:hAnsi="Garamond" w:cs="Garamond"/>
        </w:rPr>
        <w:t>),</w:t>
      </w:r>
      <w:r w:rsidR="00FE12F8" w:rsidRPr="00FE12F8">
        <w:rPr>
          <w:rFonts w:ascii="Garamond" w:hAnsi="Garamond" w:cs="Garamond"/>
        </w:rPr>
        <w:t xml:space="preserve"> </w:t>
      </w:r>
      <w:r>
        <w:rPr>
          <w:rFonts w:ascii="Garamond" w:hAnsi="Garamond" w:cs="Garamond"/>
        </w:rPr>
        <w:t>per</w:t>
      </w:r>
      <w:r w:rsidR="00FE12F8">
        <w:rPr>
          <w:rFonts w:ascii="Garamond" w:hAnsi="Garamond" w:cs="Garamond"/>
        </w:rPr>
        <w:t xml:space="preserve"> procedere </w:t>
      </w:r>
      <w:r>
        <w:rPr>
          <w:rFonts w:ascii="Garamond" w:hAnsi="Garamond" w:cs="Garamond"/>
        </w:rPr>
        <w:t xml:space="preserve">poi </w:t>
      </w:r>
      <w:r w:rsidR="00BF6479">
        <w:rPr>
          <w:rFonts w:ascii="Garamond" w:hAnsi="Garamond" w:cs="Garamond"/>
        </w:rPr>
        <w:t xml:space="preserve">con </w:t>
      </w:r>
      <w:r>
        <w:rPr>
          <w:rFonts w:ascii="Garamond" w:hAnsi="Garamond" w:cs="Garamond"/>
        </w:rPr>
        <w:t>l’</w:t>
      </w:r>
      <w:r w:rsidR="00FE12F8">
        <w:rPr>
          <w:rFonts w:ascii="Garamond" w:hAnsi="Garamond" w:cs="Garamond"/>
        </w:rPr>
        <w:t>affidamento diretto</w:t>
      </w:r>
      <w:r w:rsidR="00FE12F8" w:rsidRPr="00FE12F8">
        <w:rPr>
          <w:rFonts w:ascii="Garamond" w:hAnsi="Garamond" w:cs="Garamond"/>
        </w:rPr>
        <w:t>, la selezione de</w:t>
      </w:r>
      <w:r>
        <w:rPr>
          <w:rFonts w:ascii="Garamond" w:hAnsi="Garamond" w:cs="Garamond"/>
        </w:rPr>
        <w:t xml:space="preserve">gli operatori che abbiano manifestato interesse </w:t>
      </w:r>
      <w:r w:rsidR="00FE12F8" w:rsidRPr="00FE12F8">
        <w:rPr>
          <w:rFonts w:ascii="Garamond" w:hAnsi="Garamond" w:cs="Garamond"/>
        </w:rPr>
        <w:t>deve avvenire con modalità di scelta oggettive, non discriminatorie e proporzionali, individuate preventivamente, quali la specifica competen</w:t>
      </w:r>
      <w:r w:rsidR="00FE12F8">
        <w:rPr>
          <w:rFonts w:ascii="Garamond" w:hAnsi="Garamond" w:cs="Garamond"/>
        </w:rPr>
        <w:t xml:space="preserve">za, la rotazione </w:t>
      </w:r>
      <w:r>
        <w:rPr>
          <w:rFonts w:ascii="Garamond" w:hAnsi="Garamond" w:cs="Garamond"/>
        </w:rPr>
        <w:t>e</w:t>
      </w:r>
      <w:r w:rsidR="00FE12F8">
        <w:rPr>
          <w:rFonts w:ascii="Garamond" w:hAnsi="Garamond" w:cs="Garamond"/>
        </w:rPr>
        <w:t xml:space="preserve"> il sorteggio.</w:t>
      </w:r>
      <w:r w:rsidR="00676595">
        <w:rPr>
          <w:rFonts w:ascii="Garamond" w:hAnsi="Garamond" w:cs="Garamond"/>
        </w:rPr>
        <w:t xml:space="preserve"> Nello specifico ambito (affidamenti inferiori a 40.000 euro) si </w:t>
      </w:r>
      <w:r w:rsidR="00830256">
        <w:rPr>
          <w:rFonts w:ascii="Garamond" w:hAnsi="Garamond" w:cs="Garamond"/>
        </w:rPr>
        <w:t xml:space="preserve">sono </w:t>
      </w:r>
      <w:r w:rsidR="00676595">
        <w:rPr>
          <w:rFonts w:ascii="Garamond" w:hAnsi="Garamond" w:cs="Garamond"/>
        </w:rPr>
        <w:t>interpreta</w:t>
      </w:r>
      <w:r w:rsidR="00830256">
        <w:rPr>
          <w:rFonts w:ascii="Garamond" w:hAnsi="Garamond" w:cs="Garamond"/>
        </w:rPr>
        <w:t>te</w:t>
      </w:r>
      <w:r w:rsidR="00676595">
        <w:rPr>
          <w:rFonts w:ascii="Garamond" w:hAnsi="Garamond" w:cs="Garamond"/>
        </w:rPr>
        <w:t xml:space="preserve"> </w:t>
      </w:r>
      <w:r w:rsidR="00830256">
        <w:rPr>
          <w:rFonts w:ascii="Garamond" w:hAnsi="Garamond" w:cs="Garamond"/>
        </w:rPr>
        <w:t xml:space="preserve">le Linee Guida </w:t>
      </w:r>
      <w:r w:rsidR="00676595">
        <w:rPr>
          <w:rFonts w:ascii="Garamond" w:hAnsi="Garamond" w:cs="Garamond"/>
        </w:rPr>
        <w:t>nel senso che i predetti criteri di selezione si intendono equivalenti. In particolare il sorteggio può essere utilizzato in alternativa paritaria con gli altri criteri</w:t>
      </w:r>
      <w:r>
        <w:rPr>
          <w:rFonts w:ascii="Garamond" w:hAnsi="Garamond" w:cs="Garamond"/>
        </w:rPr>
        <w:t xml:space="preserve"> (</w:t>
      </w:r>
      <w:r w:rsidR="00830256" w:rsidRPr="00830256">
        <w:rPr>
          <w:rFonts w:ascii="Garamond" w:hAnsi="Garamond" w:cs="Garamond"/>
          <w:b/>
        </w:rPr>
        <w:t>con però la</w:t>
      </w:r>
      <w:r w:rsidRPr="00830256">
        <w:rPr>
          <w:rFonts w:ascii="Garamond" w:hAnsi="Garamond" w:cs="Garamond"/>
          <w:b/>
        </w:rPr>
        <w:t xml:space="preserve"> fissazione </w:t>
      </w:r>
      <w:r w:rsidR="000E5BA0" w:rsidRPr="00830256">
        <w:rPr>
          <w:rFonts w:ascii="Garamond" w:hAnsi="Garamond" w:cs="Garamond"/>
          <w:b/>
        </w:rPr>
        <w:t xml:space="preserve">comunque </w:t>
      </w:r>
      <w:r w:rsidRPr="00830256">
        <w:rPr>
          <w:rFonts w:ascii="Garamond" w:hAnsi="Garamond" w:cs="Garamond"/>
          <w:b/>
        </w:rPr>
        <w:t xml:space="preserve">di un limite massimo, su un periodo coerente, degli affidamenti possibili al medesimo operatore: </w:t>
      </w:r>
      <w:r w:rsidR="00830256">
        <w:rPr>
          <w:rFonts w:ascii="Garamond" w:hAnsi="Garamond" w:cs="Garamond"/>
          <w:b/>
        </w:rPr>
        <w:t xml:space="preserve">si è suggerito </w:t>
      </w:r>
      <w:r w:rsidRPr="00830256">
        <w:rPr>
          <w:rFonts w:ascii="Garamond" w:hAnsi="Garamond" w:cs="Garamond"/>
          <w:b/>
        </w:rPr>
        <w:t>non superiore alla soglia di rilievo comunitario su</w:t>
      </w:r>
      <w:r w:rsidR="00830256" w:rsidRPr="00830256">
        <w:rPr>
          <w:rFonts w:ascii="Garamond" w:hAnsi="Garamond" w:cs="Garamond"/>
          <w:b/>
        </w:rPr>
        <w:t>l semestre precedente</w:t>
      </w:r>
      <w:r>
        <w:rPr>
          <w:rFonts w:ascii="Garamond" w:hAnsi="Garamond" w:cs="Garamond"/>
        </w:rPr>
        <w:t>)</w:t>
      </w:r>
      <w:r w:rsidR="00676595">
        <w:rPr>
          <w:rFonts w:ascii="Garamond" w:hAnsi="Garamond" w:cs="Garamond"/>
        </w:rPr>
        <w:t xml:space="preserve">. </w:t>
      </w:r>
    </w:p>
    <w:p w:rsidR="00FE12F8" w:rsidRPr="00FE12F8" w:rsidRDefault="000E5BA0" w:rsidP="00FE12F8">
      <w:pPr>
        <w:pStyle w:val="NormaleWeb"/>
        <w:jc w:val="both"/>
        <w:rPr>
          <w:rFonts w:ascii="Garamond" w:hAnsi="Garamond" w:cs="Garamond"/>
        </w:rPr>
      </w:pPr>
      <w:r>
        <w:rPr>
          <w:rFonts w:ascii="Garamond" w:hAnsi="Garamond" w:cs="Garamond"/>
        </w:rPr>
        <w:t>Q</w:t>
      </w:r>
      <w:r w:rsidR="00676595">
        <w:rPr>
          <w:rFonts w:ascii="Garamond" w:hAnsi="Garamond" w:cs="Garamond"/>
        </w:rPr>
        <w:t xml:space="preserve">ualora </w:t>
      </w:r>
      <w:r>
        <w:rPr>
          <w:rFonts w:ascii="Garamond" w:hAnsi="Garamond" w:cs="Garamond"/>
        </w:rPr>
        <w:t xml:space="preserve">peraltro </w:t>
      </w:r>
      <w:r w:rsidR="00676595">
        <w:rPr>
          <w:rFonts w:ascii="Garamond" w:hAnsi="Garamond" w:cs="Garamond"/>
        </w:rPr>
        <w:t xml:space="preserve">il sorteggio non </w:t>
      </w:r>
      <w:r>
        <w:rPr>
          <w:rFonts w:ascii="Garamond" w:hAnsi="Garamond" w:cs="Garamond"/>
        </w:rPr>
        <w:t xml:space="preserve">serva ad </w:t>
      </w:r>
      <w:r w:rsidR="00676595">
        <w:rPr>
          <w:rFonts w:ascii="Garamond" w:hAnsi="Garamond" w:cs="Garamond"/>
        </w:rPr>
        <w:t>individu</w:t>
      </w:r>
      <w:r>
        <w:rPr>
          <w:rFonts w:ascii="Garamond" w:hAnsi="Garamond" w:cs="Garamond"/>
        </w:rPr>
        <w:t>are</w:t>
      </w:r>
      <w:r w:rsidR="00676595">
        <w:rPr>
          <w:rFonts w:ascii="Garamond" w:hAnsi="Garamond" w:cs="Garamond"/>
        </w:rPr>
        <w:t xml:space="preserve"> direttamente il soggetto con cui </w:t>
      </w:r>
      <w:r>
        <w:rPr>
          <w:rFonts w:ascii="Garamond" w:hAnsi="Garamond" w:cs="Garamond"/>
        </w:rPr>
        <w:t>con</w:t>
      </w:r>
      <w:r w:rsidR="00676595">
        <w:rPr>
          <w:rFonts w:ascii="Garamond" w:hAnsi="Garamond" w:cs="Garamond"/>
        </w:rPr>
        <w:t>tra</w:t>
      </w:r>
      <w:r>
        <w:rPr>
          <w:rFonts w:ascii="Garamond" w:hAnsi="Garamond" w:cs="Garamond"/>
        </w:rPr>
        <w:t>r</w:t>
      </w:r>
      <w:r w:rsidR="00676595">
        <w:rPr>
          <w:rFonts w:ascii="Garamond" w:hAnsi="Garamond" w:cs="Garamond"/>
        </w:rPr>
        <w:t>re</w:t>
      </w:r>
      <w:r>
        <w:rPr>
          <w:rFonts w:ascii="Garamond" w:hAnsi="Garamond" w:cs="Garamond"/>
        </w:rPr>
        <w:t>,</w:t>
      </w:r>
      <w:r w:rsidR="00676595">
        <w:rPr>
          <w:rFonts w:ascii="Garamond" w:hAnsi="Garamond" w:cs="Garamond"/>
        </w:rPr>
        <w:t xml:space="preserve"> ma due o più soggetti a cui richiedere i preventivi</w:t>
      </w:r>
      <w:r w:rsidR="00830256">
        <w:rPr>
          <w:rFonts w:ascii="Garamond" w:hAnsi="Garamond" w:cs="Garamond"/>
        </w:rPr>
        <w:t xml:space="preserve"> (</w:t>
      </w:r>
      <w:r w:rsidR="00830256" w:rsidRPr="00830256">
        <w:rPr>
          <w:rFonts w:ascii="Garamond" w:hAnsi="Garamond" w:cs="Garamond"/>
          <w:b/>
        </w:rPr>
        <w:t>negli schemi se ne sono previsti tre</w:t>
      </w:r>
      <w:r w:rsidR="002A1BBA">
        <w:rPr>
          <w:rFonts w:ascii="Garamond" w:hAnsi="Garamond" w:cs="Garamond"/>
          <w:b/>
        </w:rPr>
        <w:t xml:space="preserve"> come </w:t>
      </w:r>
      <w:r w:rsidR="002A1BBA" w:rsidRPr="002A1BBA">
        <w:rPr>
          <w:rFonts w:ascii="Garamond" w:hAnsi="Garamond" w:cs="Garamond"/>
          <w:b/>
          <w:i/>
        </w:rPr>
        <w:t>Opzione 2</w:t>
      </w:r>
      <w:r w:rsidR="00830256">
        <w:rPr>
          <w:rFonts w:ascii="Garamond" w:hAnsi="Garamond" w:cs="Garamond"/>
        </w:rPr>
        <w:t>)</w:t>
      </w:r>
      <w:r w:rsidR="00676595">
        <w:rPr>
          <w:rFonts w:ascii="Garamond" w:hAnsi="Garamond" w:cs="Garamond"/>
        </w:rPr>
        <w:t xml:space="preserve">, oltre a prevedersi nell’avviso luogo e data del sorteggio pubblico, </w:t>
      </w:r>
      <w:r w:rsidR="00C3389C">
        <w:rPr>
          <w:rFonts w:ascii="Garamond" w:hAnsi="Garamond" w:cs="Garamond"/>
        </w:rPr>
        <w:t>occorr</w:t>
      </w:r>
      <w:r w:rsidR="00776697">
        <w:rPr>
          <w:rFonts w:ascii="Garamond" w:hAnsi="Garamond" w:cs="Garamond"/>
        </w:rPr>
        <w:t>e</w:t>
      </w:r>
      <w:r w:rsidR="00C3389C">
        <w:rPr>
          <w:rFonts w:ascii="Garamond" w:hAnsi="Garamond" w:cs="Garamond"/>
        </w:rPr>
        <w:t xml:space="preserve"> prevedere un sistema di sorteggio che consenta di mantenere la segretezza sui soggetti estratti</w:t>
      </w:r>
      <w:r w:rsidR="00776697">
        <w:rPr>
          <w:rFonts w:ascii="Garamond" w:hAnsi="Garamond" w:cs="Garamond"/>
        </w:rPr>
        <w:t xml:space="preserve"> ed</w:t>
      </w:r>
      <w:r w:rsidR="00C3389C">
        <w:rPr>
          <w:rFonts w:ascii="Garamond" w:hAnsi="Garamond" w:cs="Garamond"/>
        </w:rPr>
        <w:t xml:space="preserve"> </w:t>
      </w:r>
      <w:r w:rsidR="00776697">
        <w:rPr>
          <w:rFonts w:ascii="Garamond" w:hAnsi="Garamond" w:cs="Garamond"/>
        </w:rPr>
        <w:t>è</w:t>
      </w:r>
      <w:r w:rsidR="00C3389C">
        <w:rPr>
          <w:rFonts w:ascii="Garamond" w:hAnsi="Garamond" w:cs="Garamond"/>
        </w:rPr>
        <w:t xml:space="preserve"> </w:t>
      </w:r>
      <w:r w:rsidR="00830256">
        <w:rPr>
          <w:rFonts w:ascii="Garamond" w:hAnsi="Garamond" w:cs="Garamond"/>
        </w:rPr>
        <w:t>necessaria</w:t>
      </w:r>
      <w:r w:rsidR="00C3389C">
        <w:rPr>
          <w:rFonts w:ascii="Garamond" w:hAnsi="Garamond" w:cs="Garamond"/>
        </w:rPr>
        <w:t xml:space="preserve"> la previsione </w:t>
      </w:r>
      <w:r w:rsidR="00776697">
        <w:rPr>
          <w:rFonts w:ascii="Garamond" w:hAnsi="Garamond" w:cs="Garamond"/>
        </w:rPr>
        <w:t xml:space="preserve">in ogni caso </w:t>
      </w:r>
      <w:r w:rsidR="00C3389C">
        <w:rPr>
          <w:rFonts w:ascii="Garamond" w:hAnsi="Garamond" w:cs="Garamond"/>
        </w:rPr>
        <w:t>di una seduta pubblica per l’apertura contestuale dei preventivi inviati.</w:t>
      </w:r>
      <w:r w:rsidR="002A1BBA">
        <w:rPr>
          <w:rFonts w:ascii="Garamond" w:hAnsi="Garamond" w:cs="Garamond"/>
        </w:rPr>
        <w:t xml:space="preserve"> Peraltro, g</w:t>
      </w:r>
      <w:r w:rsidR="00FE12F8" w:rsidRPr="00FE12F8">
        <w:rPr>
          <w:rFonts w:ascii="Garamond" w:hAnsi="Garamond" w:cs="Garamond"/>
        </w:rPr>
        <w:t>li incarichi di importo inferiore a 40.000 euro possono essere affidati in via diretta</w:t>
      </w:r>
      <w:r>
        <w:rPr>
          <w:rFonts w:ascii="Garamond" w:hAnsi="Garamond" w:cs="Garamond"/>
        </w:rPr>
        <w:t xml:space="preserve"> per regola generale</w:t>
      </w:r>
      <w:r w:rsidR="00FE12F8" w:rsidRPr="00FE12F8">
        <w:rPr>
          <w:rFonts w:ascii="Garamond" w:hAnsi="Garamond" w:cs="Garamond"/>
        </w:rPr>
        <w:t>, secondo quanto previsto dall’art. 31, comma 8</w:t>
      </w:r>
      <w:r>
        <w:rPr>
          <w:rFonts w:ascii="Garamond" w:hAnsi="Garamond" w:cs="Garamond"/>
        </w:rPr>
        <w:t xml:space="preserve">, e 36, comma 2, lett. a) </w:t>
      </w:r>
      <w:r w:rsidR="00FE12F8" w:rsidRPr="00FE12F8">
        <w:rPr>
          <w:rFonts w:ascii="Garamond" w:hAnsi="Garamond" w:cs="Garamond"/>
        </w:rPr>
        <w:t xml:space="preserve">del codice. </w:t>
      </w:r>
      <w:r w:rsidR="002A1BBA">
        <w:rPr>
          <w:rFonts w:ascii="Garamond" w:hAnsi="Garamond" w:cs="Garamond"/>
        </w:rPr>
        <w:t>I</w:t>
      </w:r>
      <w:r w:rsidR="00FE12F8" w:rsidRPr="00FE12F8">
        <w:rPr>
          <w:rFonts w:ascii="Garamond" w:hAnsi="Garamond" w:cs="Garamond"/>
        </w:rPr>
        <w:t xml:space="preserve">l ribasso sull’importo della prestazione </w:t>
      </w:r>
      <w:r w:rsidR="00BF6479">
        <w:rPr>
          <w:rFonts w:ascii="Garamond" w:hAnsi="Garamond" w:cs="Garamond"/>
        </w:rPr>
        <w:t xml:space="preserve">può essere </w:t>
      </w:r>
      <w:r w:rsidR="00FE12F8" w:rsidRPr="00FE12F8">
        <w:rPr>
          <w:rFonts w:ascii="Garamond" w:hAnsi="Garamond" w:cs="Garamond"/>
        </w:rPr>
        <w:t>negoziato fra il responsabile del procedimento e l’operatore economico cui si intende affidare la commessa, sulla base della specificità del caso</w:t>
      </w:r>
      <w:r w:rsidR="00BF6479">
        <w:rPr>
          <w:rFonts w:ascii="Garamond" w:hAnsi="Garamond" w:cs="Garamond"/>
        </w:rPr>
        <w:t>.</w:t>
      </w:r>
    </w:p>
    <w:p w:rsidR="00D16961" w:rsidRDefault="00D16961" w:rsidP="00D16961">
      <w:pPr>
        <w:pStyle w:val="NormaleWeb"/>
        <w:jc w:val="both"/>
        <w:rPr>
          <w:rFonts w:ascii="Garamond" w:hAnsi="Garamond" w:cs="Garamond"/>
        </w:rPr>
      </w:pPr>
      <w:r>
        <w:rPr>
          <w:rFonts w:ascii="Garamond" w:hAnsi="Garamond" w:cs="Garamond"/>
        </w:rPr>
        <w:t>L</w:t>
      </w:r>
      <w:r w:rsidR="00C3389C">
        <w:rPr>
          <w:rFonts w:ascii="Garamond" w:hAnsi="Garamond" w:cs="Garamond"/>
        </w:rPr>
        <w:t>’ANAC ha specificato</w:t>
      </w:r>
      <w:r>
        <w:rPr>
          <w:rFonts w:ascii="Garamond" w:hAnsi="Garamond" w:cs="Garamond"/>
        </w:rPr>
        <w:t xml:space="preserve"> che</w:t>
      </w:r>
      <w:r w:rsidR="00C3389C">
        <w:rPr>
          <w:rFonts w:ascii="Garamond" w:hAnsi="Garamond" w:cs="Garamond"/>
        </w:rPr>
        <w:t xml:space="preserve"> </w:t>
      </w:r>
      <w:r>
        <w:rPr>
          <w:rFonts w:ascii="Garamond" w:hAnsi="Garamond" w:cs="Garamond"/>
        </w:rPr>
        <w:t xml:space="preserve">(v. Relazione AIR alle Linee Guida n. 1/16 Principali osservazioni non accolte </w:t>
      </w:r>
      <w:r w:rsidR="00905132">
        <w:rPr>
          <w:rFonts w:ascii="Garamond" w:hAnsi="Garamond" w:cs="Garamond"/>
        </w:rPr>
        <w:t xml:space="preserve">- </w:t>
      </w:r>
      <w:r>
        <w:rPr>
          <w:rFonts w:ascii="Garamond" w:hAnsi="Garamond" w:cs="Garamond"/>
        </w:rPr>
        <w:t>punto 5.6.1):</w:t>
      </w:r>
    </w:p>
    <w:p w:rsidR="00D16961" w:rsidRPr="00D16961" w:rsidRDefault="00D16961" w:rsidP="00D16961">
      <w:pPr>
        <w:pStyle w:val="NormaleWeb"/>
        <w:jc w:val="both"/>
        <w:rPr>
          <w:rFonts w:ascii="Garamond" w:hAnsi="Garamond" w:cs="Garamond"/>
        </w:rPr>
      </w:pPr>
      <w:r>
        <w:rPr>
          <w:rFonts w:ascii="Garamond" w:hAnsi="Garamond" w:cs="Garamond"/>
        </w:rPr>
        <w:t>1.</w:t>
      </w:r>
      <w:r w:rsidR="00C3389C">
        <w:rPr>
          <w:rFonts w:ascii="Garamond" w:hAnsi="Garamond" w:cs="Garamond"/>
        </w:rPr>
        <w:t xml:space="preserve"> </w:t>
      </w:r>
      <w:r>
        <w:rPr>
          <w:rFonts w:ascii="Garamond" w:hAnsi="Garamond" w:cs="Garamond"/>
        </w:rPr>
        <w:t>n</w:t>
      </w:r>
      <w:r w:rsidRPr="00D16961">
        <w:rPr>
          <w:rFonts w:ascii="Garamond" w:hAnsi="Garamond" w:cs="Garamond"/>
        </w:rPr>
        <w:t>on sussiste alcun dato normativo testuale dal quale si possa evincere la possibilità di imporre alle amministrazioni aggiudicatrici di utilizzare il criterio dell’offerta economicamente più vantaggiosa</w:t>
      </w:r>
      <w:r>
        <w:rPr>
          <w:rFonts w:ascii="Garamond" w:hAnsi="Garamond" w:cs="Garamond"/>
        </w:rPr>
        <w:t>,</w:t>
      </w:r>
      <w:r w:rsidRPr="00D16961">
        <w:rPr>
          <w:rFonts w:ascii="Garamond" w:hAnsi="Garamond" w:cs="Garamond"/>
        </w:rPr>
        <w:t xml:space="preserve"> secondo il </w:t>
      </w:r>
      <w:r w:rsidR="000E5BA0">
        <w:rPr>
          <w:rFonts w:ascii="Garamond" w:hAnsi="Garamond" w:cs="Garamond"/>
        </w:rPr>
        <w:t xml:space="preserve">miglior </w:t>
      </w:r>
      <w:r w:rsidRPr="00D16961">
        <w:rPr>
          <w:rFonts w:ascii="Garamond" w:hAnsi="Garamond" w:cs="Garamond"/>
        </w:rPr>
        <w:t>rapporto qualità</w:t>
      </w:r>
      <w:r w:rsidR="000E5BA0">
        <w:rPr>
          <w:rFonts w:ascii="Garamond" w:hAnsi="Garamond" w:cs="Garamond"/>
        </w:rPr>
        <w:t>/</w:t>
      </w:r>
      <w:r w:rsidRPr="00D16961">
        <w:rPr>
          <w:rFonts w:ascii="Garamond" w:hAnsi="Garamond" w:cs="Garamond"/>
        </w:rPr>
        <w:t>prezzo</w:t>
      </w:r>
      <w:r>
        <w:rPr>
          <w:rFonts w:ascii="Garamond" w:hAnsi="Garamond" w:cs="Garamond"/>
        </w:rPr>
        <w:t>,</w:t>
      </w:r>
      <w:r w:rsidRPr="00D16961">
        <w:rPr>
          <w:rFonts w:ascii="Garamond" w:hAnsi="Garamond" w:cs="Garamond"/>
        </w:rPr>
        <w:t xml:space="preserve"> anche per importi inferiori a 40.000 euro</w:t>
      </w:r>
      <w:r w:rsidR="00905132">
        <w:rPr>
          <w:rFonts w:ascii="Garamond" w:hAnsi="Garamond" w:cs="Garamond"/>
        </w:rPr>
        <w:t xml:space="preserve"> (nel caso specifico si trattava dei</w:t>
      </w:r>
      <w:r w:rsidRPr="00D16961">
        <w:rPr>
          <w:rFonts w:ascii="Garamond" w:hAnsi="Garamond" w:cs="Garamond"/>
        </w:rPr>
        <w:t xml:space="preserve"> casi di affidamento della redazione del piano di sicurezza e coordinamento in fase esecutiva</w:t>
      </w:r>
      <w:r w:rsidR="00905132">
        <w:rPr>
          <w:rFonts w:ascii="Garamond" w:hAnsi="Garamond" w:cs="Garamond"/>
        </w:rPr>
        <w:t>: anche in tali casi l’ANAC afferma che</w:t>
      </w:r>
      <w:r w:rsidRPr="00D16961">
        <w:rPr>
          <w:rFonts w:ascii="Garamond" w:hAnsi="Garamond" w:cs="Garamond"/>
        </w:rPr>
        <w:t xml:space="preserve"> può essere </w:t>
      </w:r>
      <w:r w:rsidR="00905132">
        <w:rPr>
          <w:rFonts w:ascii="Garamond" w:hAnsi="Garamond" w:cs="Garamond"/>
        </w:rPr>
        <w:t xml:space="preserve">al più </w:t>
      </w:r>
      <w:r w:rsidRPr="00D16961">
        <w:rPr>
          <w:rFonts w:ascii="Garamond" w:hAnsi="Garamond" w:cs="Garamond"/>
        </w:rPr>
        <w:t>suggerito dall’A.N.AC. l’utilizzo dell’OEPV, in un’ottica di tutela della qualità della prestazione</w:t>
      </w:r>
      <w:r>
        <w:rPr>
          <w:rFonts w:ascii="Garamond" w:hAnsi="Garamond" w:cs="Garamond"/>
        </w:rPr>
        <w:t>,</w:t>
      </w:r>
      <w:r w:rsidRPr="00D16961">
        <w:rPr>
          <w:rFonts w:ascii="Garamond" w:hAnsi="Garamond" w:cs="Garamond"/>
        </w:rPr>
        <w:t xml:space="preserve"> vista la delicatezza e la rilevanza degli interessi anche costituzionalmente garantiti (la salu</w:t>
      </w:r>
      <w:r>
        <w:rPr>
          <w:rFonts w:ascii="Garamond" w:hAnsi="Garamond" w:cs="Garamond"/>
        </w:rPr>
        <w:t>te ex art. 32 Cost.) in gioco;</w:t>
      </w:r>
    </w:p>
    <w:p w:rsidR="00FE12F8" w:rsidRDefault="00D16961" w:rsidP="00D16961">
      <w:pPr>
        <w:pStyle w:val="NormaleWeb"/>
        <w:jc w:val="both"/>
        <w:rPr>
          <w:rFonts w:ascii="Garamond" w:hAnsi="Garamond" w:cs="Garamond"/>
        </w:rPr>
      </w:pPr>
      <w:r>
        <w:rPr>
          <w:rFonts w:ascii="Garamond" w:hAnsi="Garamond" w:cs="Garamond"/>
        </w:rPr>
        <w:t xml:space="preserve">2. </w:t>
      </w:r>
      <w:r w:rsidR="002A1BBA">
        <w:rPr>
          <w:rFonts w:ascii="Garamond" w:hAnsi="Garamond" w:cs="Garamond"/>
        </w:rPr>
        <w:t xml:space="preserve">e </w:t>
      </w:r>
      <w:r w:rsidR="000E5BA0" w:rsidRPr="00D16961">
        <w:rPr>
          <w:rFonts w:ascii="Garamond" w:hAnsi="Garamond" w:cs="Garamond"/>
        </w:rPr>
        <w:t xml:space="preserve">non </w:t>
      </w:r>
      <w:r w:rsidR="000E5BA0">
        <w:rPr>
          <w:rFonts w:ascii="Garamond" w:hAnsi="Garamond" w:cs="Garamond"/>
        </w:rPr>
        <w:t>è stat</w:t>
      </w:r>
      <w:r w:rsidR="002A1BBA">
        <w:rPr>
          <w:rFonts w:ascii="Garamond" w:hAnsi="Garamond" w:cs="Garamond"/>
        </w:rPr>
        <w:t>a</w:t>
      </w:r>
      <w:r w:rsidR="000E5BA0" w:rsidRPr="00D16961">
        <w:rPr>
          <w:rFonts w:ascii="Garamond" w:hAnsi="Garamond" w:cs="Garamond"/>
        </w:rPr>
        <w:t xml:space="preserve"> accolt</w:t>
      </w:r>
      <w:r w:rsidR="000E5BA0">
        <w:rPr>
          <w:rFonts w:ascii="Garamond" w:hAnsi="Garamond" w:cs="Garamond"/>
        </w:rPr>
        <w:t>a</w:t>
      </w:r>
      <w:r>
        <w:rPr>
          <w:rFonts w:ascii="Garamond" w:hAnsi="Garamond" w:cs="Garamond"/>
        </w:rPr>
        <w:t xml:space="preserve">, d’altra parte, </w:t>
      </w:r>
      <w:r w:rsidR="000E5BA0">
        <w:rPr>
          <w:rFonts w:ascii="Garamond" w:hAnsi="Garamond" w:cs="Garamond"/>
        </w:rPr>
        <w:t xml:space="preserve">nemmeno </w:t>
      </w:r>
      <w:r>
        <w:rPr>
          <w:rFonts w:ascii="Garamond" w:hAnsi="Garamond" w:cs="Garamond"/>
        </w:rPr>
        <w:t>l</w:t>
      </w:r>
      <w:r w:rsidRPr="00D16961">
        <w:rPr>
          <w:rFonts w:ascii="Garamond" w:hAnsi="Garamond" w:cs="Garamond"/>
        </w:rPr>
        <w:t xml:space="preserve">a richiesta di prevedere, nelle linee guida, l’utilizzo del criterio del solo prezzo, con esclusione automatica delle offerte anomale, </w:t>
      </w:r>
      <w:r w:rsidR="000E5BA0">
        <w:rPr>
          <w:rFonts w:ascii="Garamond" w:hAnsi="Garamond" w:cs="Garamond"/>
        </w:rPr>
        <w:t xml:space="preserve">per affidamenti </w:t>
      </w:r>
      <w:r w:rsidRPr="00D16961">
        <w:rPr>
          <w:rFonts w:ascii="Garamond" w:hAnsi="Garamond" w:cs="Garamond"/>
        </w:rPr>
        <w:t xml:space="preserve">sotto </w:t>
      </w:r>
      <w:r w:rsidR="000E5BA0">
        <w:rPr>
          <w:rFonts w:ascii="Garamond" w:hAnsi="Garamond" w:cs="Garamond"/>
        </w:rPr>
        <w:t xml:space="preserve">i </w:t>
      </w:r>
      <w:r w:rsidRPr="00D16961">
        <w:rPr>
          <w:rFonts w:ascii="Garamond" w:hAnsi="Garamond" w:cs="Garamond"/>
        </w:rPr>
        <w:t>40.000 euro</w:t>
      </w:r>
      <w:r w:rsidR="000E5BA0">
        <w:rPr>
          <w:rFonts w:ascii="Garamond" w:hAnsi="Garamond" w:cs="Garamond"/>
        </w:rPr>
        <w:t>, in quanto</w:t>
      </w:r>
      <w:r w:rsidRPr="00D16961">
        <w:rPr>
          <w:rFonts w:ascii="Garamond" w:hAnsi="Garamond" w:cs="Garamond"/>
        </w:rPr>
        <w:t xml:space="preserve"> </w:t>
      </w:r>
      <w:r>
        <w:rPr>
          <w:rFonts w:ascii="Garamond" w:hAnsi="Garamond" w:cs="Garamond"/>
        </w:rPr>
        <w:t>s</w:t>
      </w:r>
      <w:r w:rsidRPr="00D16961">
        <w:rPr>
          <w:rFonts w:ascii="Garamond" w:hAnsi="Garamond" w:cs="Garamond"/>
        </w:rPr>
        <w:t>i tratta di una possibilità rimessa alla discrezionalità delle stazioni appaltanti, come si ricava a contrario dall’art. 95, comma 3 del Codice.</w:t>
      </w:r>
    </w:p>
    <w:p w:rsidR="007A4C16" w:rsidRDefault="007A4C16" w:rsidP="00D16961">
      <w:pPr>
        <w:pStyle w:val="NormaleWeb"/>
        <w:jc w:val="both"/>
        <w:rPr>
          <w:rFonts w:ascii="Garamond" w:hAnsi="Garamond" w:cs="Garamond"/>
        </w:rPr>
      </w:pPr>
      <w:r>
        <w:rPr>
          <w:rFonts w:ascii="Garamond" w:hAnsi="Garamond" w:cs="Garamond"/>
        </w:rPr>
        <w:t>Dalla suddetta Relazione AIR si ricava anche che: “</w:t>
      </w:r>
      <w:r w:rsidRPr="007A4C16">
        <w:rPr>
          <w:rFonts w:ascii="Garamond" w:hAnsi="Garamond" w:cs="Garamond"/>
          <w:i/>
        </w:rPr>
        <w:t>In ordine alla richiesta di non prevedere un fatturato minimo anno come possibile requisito di accesso alla gara, si osserva che trattasi di possibilità ammessa dall’attuale quadro normativo. Al riguardo, nella consapevolezza delle difficoltà che possono avere gli operatori di piccole dimensioni, le linee guida suggeriscono come alternativa la possibilità di prevedere l’alternativo requisito di capacità economico-finanziari di un “livello adeguato di copertura assicurativa” contro i rischi professionali per un importo percentuale fissato in relazione al costo di costruzione dell'opera da progettare, così come consentito dall’art. 83, comma 4, lett.c) del Codice e specificato dall’allegato XVII, parte prima, lettera a)</w:t>
      </w:r>
      <w:r w:rsidRPr="007A4C16">
        <w:rPr>
          <w:rFonts w:ascii="Garamond" w:hAnsi="Garamond" w:cs="Garamond"/>
        </w:rPr>
        <w:t>.</w:t>
      </w:r>
      <w:r>
        <w:rPr>
          <w:rFonts w:ascii="Garamond" w:hAnsi="Garamond" w:cs="Garamond"/>
        </w:rPr>
        <w:t xml:space="preserve">” </w:t>
      </w:r>
      <w:r w:rsidRPr="002A1BBA">
        <w:rPr>
          <w:rFonts w:ascii="Garamond" w:hAnsi="Garamond" w:cs="Garamond"/>
          <w:b/>
        </w:rPr>
        <w:t>In tale ottica appare congrua la soluzione proposta</w:t>
      </w:r>
      <w:r w:rsidR="002A1BBA" w:rsidRPr="002A1BBA">
        <w:rPr>
          <w:rFonts w:ascii="Garamond" w:hAnsi="Garamond" w:cs="Garamond"/>
          <w:b/>
        </w:rPr>
        <w:t xml:space="preserve"> negli schemi</w:t>
      </w:r>
      <w:r w:rsidR="000E5BA0" w:rsidRPr="002A1BBA">
        <w:rPr>
          <w:rFonts w:ascii="Garamond" w:hAnsi="Garamond" w:cs="Garamond"/>
          <w:b/>
        </w:rPr>
        <w:t>,</w:t>
      </w:r>
      <w:r w:rsidRPr="002A1BBA">
        <w:rPr>
          <w:rFonts w:ascii="Garamond" w:hAnsi="Garamond" w:cs="Garamond"/>
          <w:b/>
        </w:rPr>
        <w:t xml:space="preserve"> in particolare </w:t>
      </w:r>
      <w:r w:rsidR="002A1BBA" w:rsidRPr="002A1BBA">
        <w:rPr>
          <w:rFonts w:ascii="Garamond" w:hAnsi="Garamond" w:cs="Garamond"/>
          <w:b/>
        </w:rPr>
        <w:t xml:space="preserve">proprio </w:t>
      </w:r>
      <w:r w:rsidRPr="002A1BBA">
        <w:rPr>
          <w:rFonts w:ascii="Garamond" w:hAnsi="Garamond" w:cs="Garamond"/>
          <w:b/>
        </w:rPr>
        <w:t>per gli affidamenti sotto la soglia dei 40.000 euro</w:t>
      </w:r>
      <w:r>
        <w:rPr>
          <w:rFonts w:ascii="Garamond" w:hAnsi="Garamond" w:cs="Garamond"/>
        </w:rPr>
        <w:t>.</w:t>
      </w:r>
    </w:p>
    <w:p w:rsidR="00DC1D98" w:rsidRDefault="007A4C16" w:rsidP="00AD4F08">
      <w:pPr>
        <w:pStyle w:val="NormaleWeb"/>
        <w:jc w:val="both"/>
        <w:rPr>
          <w:rFonts w:ascii="Garamond" w:hAnsi="Garamond" w:cs="Garamond"/>
        </w:rPr>
      </w:pPr>
      <w:r>
        <w:rPr>
          <w:rFonts w:ascii="Garamond" w:hAnsi="Garamond" w:cs="Garamond"/>
        </w:rPr>
        <w:t>Più in generale è parso congruo ridurre al minimo, nello schema, i requisiti proposti per la qualificazione in sede di indagine di mercato per affidamenti al di sotto dei 40.000 euro, nell’ottica di garantire la massima partecipazione, principio ispiratore del nuovo codice, nonché di favorire la partecipazione dei giovani e delle micro e piccole organizzazioni professionali.</w:t>
      </w:r>
    </w:p>
    <w:p w:rsidR="00D76E32" w:rsidRDefault="00D76E32" w:rsidP="00AD4F08">
      <w:pPr>
        <w:pStyle w:val="NormaleWeb"/>
        <w:jc w:val="both"/>
        <w:rPr>
          <w:rFonts w:ascii="Garamond" w:hAnsi="Garamond"/>
          <w:bCs/>
        </w:rPr>
      </w:pPr>
      <w:r>
        <w:rPr>
          <w:rFonts w:ascii="Garamond" w:hAnsi="Garamond"/>
          <w:bCs/>
        </w:rPr>
        <w:t>Per lo schema di avviso per indagine di mercato si rinvia al file separato.</w:t>
      </w:r>
    </w:p>
    <w:p w:rsidR="00C3093C" w:rsidRPr="0098798A" w:rsidRDefault="00C3093C" w:rsidP="00DC1D98">
      <w:pPr>
        <w:spacing w:after="0" w:line="240" w:lineRule="auto"/>
        <w:ind w:right="-17"/>
        <w:jc w:val="both"/>
        <w:rPr>
          <w:rFonts w:ascii="Garamond" w:hAnsi="Garamond" w:cs="Garamond"/>
          <w:b/>
          <w:sz w:val="24"/>
          <w:szCs w:val="24"/>
        </w:rPr>
      </w:pPr>
      <w:r w:rsidRPr="0098798A">
        <w:rPr>
          <w:rFonts w:ascii="Garamond" w:hAnsi="Garamond" w:cs="Garamond"/>
          <w:b/>
          <w:sz w:val="24"/>
          <w:szCs w:val="24"/>
        </w:rPr>
        <w:t xml:space="preserve">AFFIDAMENTI </w:t>
      </w:r>
      <w:r w:rsidR="00036621">
        <w:rPr>
          <w:rFonts w:ascii="Garamond" w:hAnsi="Garamond" w:cs="Garamond"/>
          <w:b/>
          <w:sz w:val="24"/>
          <w:szCs w:val="24"/>
        </w:rPr>
        <w:t xml:space="preserve">PER IMPORTI </w:t>
      </w:r>
      <w:r w:rsidRPr="0098798A">
        <w:rPr>
          <w:rFonts w:ascii="Garamond" w:hAnsi="Garamond" w:cs="Garamond"/>
          <w:b/>
          <w:sz w:val="24"/>
          <w:szCs w:val="24"/>
        </w:rPr>
        <w:t xml:space="preserve">PARI O SUPERIORI A 40.000 </w:t>
      </w:r>
      <w:r w:rsidR="0040798F">
        <w:rPr>
          <w:rFonts w:ascii="Garamond" w:hAnsi="Garamond" w:cs="Garamond"/>
          <w:b/>
          <w:sz w:val="24"/>
          <w:szCs w:val="24"/>
        </w:rPr>
        <w:t>E</w:t>
      </w:r>
      <w:r w:rsidRPr="0098798A">
        <w:rPr>
          <w:rFonts w:ascii="Garamond" w:hAnsi="Garamond" w:cs="Garamond"/>
          <w:b/>
          <w:sz w:val="24"/>
          <w:szCs w:val="24"/>
        </w:rPr>
        <w:t xml:space="preserve"> </w:t>
      </w:r>
      <w:r w:rsidR="00645038">
        <w:rPr>
          <w:rFonts w:ascii="Garamond" w:hAnsi="Garamond" w:cs="Garamond"/>
          <w:b/>
          <w:sz w:val="24"/>
          <w:szCs w:val="24"/>
        </w:rPr>
        <w:t>INFERIORI</w:t>
      </w:r>
      <w:r w:rsidRPr="0098798A">
        <w:rPr>
          <w:rFonts w:ascii="Garamond" w:hAnsi="Garamond" w:cs="Garamond"/>
          <w:b/>
          <w:sz w:val="24"/>
          <w:szCs w:val="24"/>
        </w:rPr>
        <w:t xml:space="preserve"> </w:t>
      </w:r>
      <w:r w:rsidR="0040798F">
        <w:rPr>
          <w:rFonts w:ascii="Garamond" w:hAnsi="Garamond" w:cs="Garamond"/>
          <w:b/>
          <w:sz w:val="24"/>
          <w:szCs w:val="24"/>
        </w:rPr>
        <w:t xml:space="preserve">A 100.000 EURO (OVVERO </w:t>
      </w:r>
      <w:r w:rsidRPr="0098798A">
        <w:rPr>
          <w:rFonts w:ascii="Garamond" w:hAnsi="Garamond" w:cs="Garamond"/>
          <w:b/>
          <w:sz w:val="24"/>
          <w:szCs w:val="24"/>
        </w:rPr>
        <w:t>A</w:t>
      </w:r>
      <w:r w:rsidR="00211A91">
        <w:rPr>
          <w:rFonts w:ascii="Garamond" w:hAnsi="Garamond" w:cs="Garamond"/>
          <w:b/>
          <w:sz w:val="24"/>
          <w:szCs w:val="24"/>
        </w:rPr>
        <w:t xml:space="preserve">LLA SOGLIA DI RILIEVO EUROPEO </w:t>
      </w:r>
      <w:r w:rsidR="0040798F">
        <w:rPr>
          <w:rFonts w:ascii="Garamond" w:hAnsi="Garamond" w:cs="Garamond"/>
          <w:b/>
          <w:sz w:val="24"/>
          <w:szCs w:val="24"/>
        </w:rPr>
        <w:t xml:space="preserve">NEL CASO DI CUI ALL’ART. 14 COMMA 4BIS </w:t>
      </w:r>
      <w:r w:rsidR="00036621">
        <w:rPr>
          <w:rFonts w:ascii="Garamond" w:hAnsi="Garamond" w:cs="Garamond"/>
          <w:b/>
          <w:sz w:val="24"/>
          <w:szCs w:val="24"/>
        </w:rPr>
        <w:t>DL</w:t>
      </w:r>
      <w:r w:rsidR="0040798F">
        <w:rPr>
          <w:rFonts w:ascii="Garamond" w:hAnsi="Garamond" w:cs="Garamond"/>
          <w:b/>
          <w:sz w:val="24"/>
          <w:szCs w:val="24"/>
        </w:rPr>
        <w:t xml:space="preserve"> 189/16) </w:t>
      </w:r>
      <w:r w:rsidRPr="0098798A">
        <w:rPr>
          <w:rFonts w:ascii="Garamond" w:hAnsi="Garamond" w:cs="Garamond"/>
          <w:b/>
          <w:sz w:val="24"/>
          <w:szCs w:val="24"/>
        </w:rPr>
        <w:t xml:space="preserve">– </w:t>
      </w:r>
      <w:r w:rsidR="00211A91">
        <w:rPr>
          <w:rFonts w:ascii="Garamond" w:hAnsi="Garamond" w:cs="Garamond"/>
          <w:b/>
        </w:rPr>
        <w:t>AVVISO PER INDAGINE DI MERCATO</w:t>
      </w:r>
      <w:r w:rsidR="00211A91" w:rsidRPr="0098798A">
        <w:rPr>
          <w:rFonts w:ascii="Garamond" w:hAnsi="Garamond" w:cs="Garamond"/>
          <w:b/>
          <w:sz w:val="24"/>
          <w:szCs w:val="24"/>
        </w:rPr>
        <w:t xml:space="preserve"> </w:t>
      </w:r>
      <w:r w:rsidR="00211A91">
        <w:rPr>
          <w:rFonts w:ascii="Garamond" w:hAnsi="Garamond" w:cs="Garamond"/>
          <w:b/>
          <w:sz w:val="24"/>
          <w:szCs w:val="24"/>
        </w:rPr>
        <w:t xml:space="preserve">+ </w:t>
      </w:r>
      <w:r w:rsidRPr="0098798A">
        <w:rPr>
          <w:rFonts w:ascii="Garamond" w:hAnsi="Garamond" w:cs="Garamond"/>
          <w:b/>
          <w:sz w:val="24"/>
          <w:szCs w:val="24"/>
        </w:rPr>
        <w:t>LETTERA DI INVITO A PROCEDURA NEGOZIATA</w:t>
      </w:r>
      <w:r w:rsidR="00776697">
        <w:rPr>
          <w:rFonts w:ascii="Garamond" w:hAnsi="Garamond" w:cs="Garamond"/>
          <w:b/>
          <w:sz w:val="24"/>
          <w:szCs w:val="24"/>
        </w:rPr>
        <w:t xml:space="preserve"> </w:t>
      </w:r>
      <w:r w:rsidR="00211A91">
        <w:rPr>
          <w:rFonts w:ascii="Garamond" w:hAnsi="Garamond" w:cs="Garamond"/>
          <w:b/>
          <w:sz w:val="24"/>
          <w:szCs w:val="24"/>
        </w:rPr>
        <w:t>+</w:t>
      </w:r>
      <w:r w:rsidR="00776697">
        <w:rPr>
          <w:rFonts w:ascii="Garamond" w:hAnsi="Garamond" w:cs="Garamond"/>
          <w:b/>
          <w:sz w:val="24"/>
          <w:szCs w:val="24"/>
        </w:rPr>
        <w:t xml:space="preserve"> DISCIPLINARE DI GARA</w:t>
      </w:r>
    </w:p>
    <w:p w:rsidR="00C3093C" w:rsidRPr="0098798A" w:rsidRDefault="00C3093C" w:rsidP="00DC1D98">
      <w:pPr>
        <w:spacing w:after="0" w:line="240" w:lineRule="auto"/>
        <w:ind w:right="-17"/>
        <w:jc w:val="both"/>
        <w:rPr>
          <w:rFonts w:ascii="Garamond" w:hAnsi="Garamond" w:cs="Garamond"/>
          <w:b/>
          <w:sz w:val="24"/>
          <w:szCs w:val="24"/>
        </w:rPr>
      </w:pPr>
    </w:p>
    <w:p w:rsidR="0098798A" w:rsidRDefault="00211A91" w:rsidP="00DC1D98">
      <w:pPr>
        <w:spacing w:after="0" w:line="240" w:lineRule="auto"/>
        <w:ind w:right="-17"/>
        <w:jc w:val="both"/>
        <w:rPr>
          <w:rFonts w:ascii="Garamond" w:eastAsia="Times New Roman" w:hAnsi="Garamond"/>
          <w:bCs/>
          <w:sz w:val="24"/>
          <w:szCs w:val="24"/>
        </w:rPr>
      </w:pPr>
      <w:r w:rsidRPr="00112F16">
        <w:rPr>
          <w:rFonts w:ascii="Garamond" w:eastAsia="Times New Roman" w:hAnsi="Garamond"/>
          <w:bCs/>
          <w:i/>
          <w:sz w:val="24"/>
          <w:szCs w:val="24"/>
        </w:rPr>
        <w:t>(</w:t>
      </w:r>
      <w:r w:rsidR="00645038" w:rsidRPr="00112F16">
        <w:rPr>
          <w:rFonts w:ascii="Garamond" w:eastAsia="Times New Roman" w:hAnsi="Garamond"/>
          <w:bCs/>
          <w:i/>
          <w:sz w:val="24"/>
          <w:szCs w:val="24"/>
        </w:rPr>
        <w:t>I</w:t>
      </w:r>
      <w:r w:rsidR="0098798A" w:rsidRPr="00112F16">
        <w:rPr>
          <w:rFonts w:ascii="Garamond" w:eastAsia="Times New Roman" w:hAnsi="Garamond"/>
          <w:bCs/>
          <w:i/>
          <w:sz w:val="24"/>
          <w:szCs w:val="24"/>
        </w:rPr>
        <w:t xml:space="preserve"> modell</w:t>
      </w:r>
      <w:r w:rsidRPr="00112F16">
        <w:rPr>
          <w:rFonts w:ascii="Garamond" w:eastAsia="Times New Roman" w:hAnsi="Garamond"/>
          <w:bCs/>
          <w:i/>
          <w:sz w:val="24"/>
          <w:szCs w:val="24"/>
        </w:rPr>
        <w:t>i</w:t>
      </w:r>
      <w:r w:rsidR="0098798A" w:rsidRPr="00112F16">
        <w:rPr>
          <w:rFonts w:ascii="Garamond" w:eastAsia="Times New Roman" w:hAnsi="Garamond"/>
          <w:bCs/>
          <w:i/>
          <w:sz w:val="24"/>
          <w:szCs w:val="24"/>
        </w:rPr>
        <w:t xml:space="preserve"> </w:t>
      </w:r>
      <w:r w:rsidRPr="00112F16">
        <w:rPr>
          <w:rFonts w:ascii="Garamond" w:eastAsia="Times New Roman" w:hAnsi="Garamond"/>
          <w:bCs/>
          <w:i/>
          <w:sz w:val="24"/>
          <w:szCs w:val="24"/>
        </w:rPr>
        <w:t>sono</w:t>
      </w:r>
      <w:r w:rsidR="0098798A" w:rsidRPr="00112F16">
        <w:rPr>
          <w:rFonts w:ascii="Garamond" w:eastAsia="Times New Roman" w:hAnsi="Garamond"/>
          <w:bCs/>
          <w:i/>
          <w:sz w:val="24"/>
          <w:szCs w:val="24"/>
        </w:rPr>
        <w:t xml:space="preserve"> </w:t>
      </w:r>
      <w:r w:rsidR="00112F16" w:rsidRPr="00112F16">
        <w:rPr>
          <w:rFonts w:ascii="Garamond" w:eastAsia="Times New Roman" w:hAnsi="Garamond"/>
          <w:bCs/>
          <w:i/>
          <w:sz w:val="24"/>
          <w:szCs w:val="24"/>
        </w:rPr>
        <w:t xml:space="preserve">ovviamente </w:t>
      </w:r>
      <w:r w:rsidR="0098798A" w:rsidRPr="00112F16">
        <w:rPr>
          <w:rFonts w:ascii="Garamond" w:eastAsia="Times New Roman" w:hAnsi="Garamond"/>
          <w:bCs/>
          <w:i/>
          <w:sz w:val="24"/>
          <w:szCs w:val="24"/>
        </w:rPr>
        <w:t>utilizzabil</w:t>
      </w:r>
      <w:r w:rsidRPr="00112F16">
        <w:rPr>
          <w:rFonts w:ascii="Garamond" w:eastAsia="Times New Roman" w:hAnsi="Garamond"/>
          <w:bCs/>
          <w:i/>
          <w:sz w:val="24"/>
          <w:szCs w:val="24"/>
        </w:rPr>
        <w:t>i</w:t>
      </w:r>
      <w:r w:rsidR="0098798A" w:rsidRPr="00112F16">
        <w:rPr>
          <w:rFonts w:ascii="Garamond" w:eastAsia="Times New Roman" w:hAnsi="Garamond"/>
          <w:bCs/>
          <w:i/>
          <w:sz w:val="24"/>
          <w:szCs w:val="24"/>
        </w:rPr>
        <w:t xml:space="preserve"> </w:t>
      </w:r>
      <w:r w:rsidR="00036621" w:rsidRPr="00112F16">
        <w:rPr>
          <w:rFonts w:ascii="Garamond" w:eastAsia="Times New Roman" w:hAnsi="Garamond"/>
          <w:bCs/>
          <w:sz w:val="24"/>
          <w:szCs w:val="24"/>
        </w:rPr>
        <w:t>mutatis mutandi</w:t>
      </w:r>
      <w:r w:rsidR="00036621" w:rsidRPr="00112F16">
        <w:rPr>
          <w:rFonts w:ascii="Garamond" w:eastAsia="Times New Roman" w:hAnsi="Garamond"/>
          <w:bCs/>
          <w:i/>
          <w:sz w:val="24"/>
          <w:szCs w:val="24"/>
        </w:rPr>
        <w:t xml:space="preserve"> </w:t>
      </w:r>
      <w:r w:rsidR="0098798A" w:rsidRPr="00112F16">
        <w:rPr>
          <w:rFonts w:ascii="Garamond" w:eastAsia="Times New Roman" w:hAnsi="Garamond"/>
          <w:bCs/>
          <w:i/>
          <w:sz w:val="24"/>
          <w:szCs w:val="24"/>
        </w:rPr>
        <w:t xml:space="preserve">qualora si intenda procedere a gara informale anche per affidamenti al di sotto dei </w:t>
      </w:r>
      <w:r w:rsidR="00645038" w:rsidRPr="00112F16">
        <w:rPr>
          <w:rFonts w:ascii="Garamond" w:eastAsia="Times New Roman" w:hAnsi="Garamond"/>
          <w:bCs/>
          <w:i/>
          <w:sz w:val="24"/>
          <w:szCs w:val="24"/>
        </w:rPr>
        <w:t>40.000 euro</w:t>
      </w:r>
      <w:r w:rsidR="00036621" w:rsidRPr="00112F16">
        <w:rPr>
          <w:rFonts w:ascii="Garamond" w:eastAsia="Times New Roman" w:hAnsi="Garamond"/>
          <w:bCs/>
          <w:i/>
          <w:sz w:val="24"/>
          <w:szCs w:val="24"/>
        </w:rPr>
        <w:t>, in particolare sostituendo eventualmente il criterio di aggiudicazione dell’OEPV con quello del massimo ribasso sul prezzo, ed eventualmente anche con la possibilità di includere l’esclusione automatica delle offerte anomale</w:t>
      </w:r>
      <w:r w:rsidRPr="00112F16">
        <w:rPr>
          <w:rFonts w:ascii="Garamond" w:eastAsia="Times New Roman" w:hAnsi="Garamond"/>
          <w:bCs/>
          <w:i/>
          <w:sz w:val="24"/>
          <w:szCs w:val="24"/>
        </w:rPr>
        <w:t>)</w:t>
      </w:r>
      <w:r w:rsidR="00602F4C">
        <w:rPr>
          <w:rFonts w:ascii="Garamond" w:eastAsia="Times New Roman" w:hAnsi="Garamond"/>
          <w:bCs/>
          <w:sz w:val="24"/>
          <w:szCs w:val="24"/>
        </w:rPr>
        <w:t>.</w:t>
      </w:r>
    </w:p>
    <w:p w:rsidR="004B5C38" w:rsidRDefault="004B5C38" w:rsidP="00DC1D98">
      <w:pPr>
        <w:spacing w:after="0" w:line="240" w:lineRule="auto"/>
        <w:ind w:right="-17"/>
        <w:jc w:val="both"/>
        <w:rPr>
          <w:rFonts w:ascii="Garamond" w:eastAsia="Times New Roman" w:hAnsi="Garamond"/>
          <w:bCs/>
          <w:sz w:val="24"/>
          <w:szCs w:val="24"/>
        </w:rPr>
      </w:pPr>
    </w:p>
    <w:p w:rsidR="00211A91" w:rsidRDefault="004B5C38" w:rsidP="00DC1D98">
      <w:pPr>
        <w:spacing w:after="0" w:line="240" w:lineRule="auto"/>
        <w:ind w:right="-17"/>
        <w:jc w:val="both"/>
        <w:rPr>
          <w:rFonts w:ascii="Garamond" w:eastAsia="Times New Roman" w:hAnsi="Garamond"/>
          <w:bCs/>
          <w:sz w:val="24"/>
          <w:szCs w:val="24"/>
        </w:rPr>
      </w:pPr>
      <w:r w:rsidRPr="00602F4C">
        <w:rPr>
          <w:rFonts w:ascii="Garamond" w:eastAsia="Times New Roman" w:hAnsi="Garamond"/>
          <w:bCs/>
          <w:sz w:val="24"/>
          <w:szCs w:val="24"/>
        </w:rPr>
        <w:t xml:space="preserve">Gli incarichi di progettazione, di coordinamento della sicurezza in fase di progettazione, di direzione dei lavori, di direzione dell’esecuzione, di coordinamento della sicurezza in fase di esecuzione e di collaudo di importo pari o superiore a 40.000 e inferiore a </w:t>
      </w:r>
      <w:r>
        <w:rPr>
          <w:rFonts w:ascii="Garamond" w:eastAsia="Times New Roman" w:hAnsi="Garamond"/>
          <w:bCs/>
          <w:sz w:val="24"/>
          <w:szCs w:val="24"/>
        </w:rPr>
        <w:t>100</w:t>
      </w:r>
      <w:r w:rsidRPr="00211A91">
        <w:rPr>
          <w:rFonts w:ascii="Garamond" w:eastAsia="Times New Roman" w:hAnsi="Garamond"/>
          <w:bCs/>
          <w:sz w:val="24"/>
          <w:szCs w:val="24"/>
        </w:rPr>
        <w:t>.000</w:t>
      </w:r>
      <w:r w:rsidRPr="00602F4C">
        <w:rPr>
          <w:rFonts w:ascii="Garamond" w:eastAsia="Times New Roman" w:hAnsi="Garamond"/>
          <w:bCs/>
          <w:sz w:val="24"/>
          <w:szCs w:val="24"/>
        </w:rPr>
        <w:t xml:space="preserve"> euro</w:t>
      </w:r>
      <w:r>
        <w:rPr>
          <w:rFonts w:ascii="Garamond" w:eastAsia="Times New Roman" w:hAnsi="Garamond"/>
          <w:bCs/>
          <w:sz w:val="24"/>
          <w:szCs w:val="24"/>
        </w:rPr>
        <w:t xml:space="preserve">, </w:t>
      </w:r>
      <w:r w:rsidRPr="00602F4C">
        <w:rPr>
          <w:rFonts w:ascii="Garamond" w:eastAsia="Times New Roman" w:hAnsi="Garamond"/>
          <w:bCs/>
          <w:sz w:val="24"/>
          <w:szCs w:val="24"/>
        </w:rPr>
        <w:t xml:space="preserve">possono </w:t>
      </w:r>
      <w:r>
        <w:rPr>
          <w:rFonts w:ascii="Garamond" w:eastAsia="Times New Roman" w:hAnsi="Garamond"/>
          <w:bCs/>
          <w:sz w:val="24"/>
          <w:szCs w:val="24"/>
        </w:rPr>
        <w:t xml:space="preserve">comunque </w:t>
      </w:r>
      <w:r w:rsidRPr="00602F4C">
        <w:rPr>
          <w:rFonts w:ascii="Garamond" w:eastAsia="Times New Roman" w:hAnsi="Garamond"/>
          <w:bCs/>
          <w:sz w:val="24"/>
          <w:szCs w:val="24"/>
        </w:rPr>
        <w:t>essere affidati dalle stazioni appaltanti</w:t>
      </w:r>
      <w:r w:rsidR="00DE3C28">
        <w:rPr>
          <w:rFonts w:ascii="Garamond" w:eastAsia="Times New Roman" w:hAnsi="Garamond"/>
          <w:bCs/>
          <w:sz w:val="24"/>
          <w:szCs w:val="24"/>
        </w:rPr>
        <w:t>,</w:t>
      </w:r>
      <w:r w:rsidRPr="00602F4C">
        <w:rPr>
          <w:rFonts w:ascii="Garamond" w:eastAsia="Times New Roman" w:hAnsi="Garamond"/>
          <w:bCs/>
          <w:sz w:val="24"/>
          <w:szCs w:val="24"/>
        </w:rPr>
        <w:t xml:space="preserve"> a cura del responsabile del procedimento, nel rispetto dei principi di non discriminazione, parità di trattamento, proporzionalità e trasparenza, e secondo la procedura </w:t>
      </w:r>
      <w:r w:rsidR="00DE3C28">
        <w:rPr>
          <w:rFonts w:ascii="Garamond" w:eastAsia="Times New Roman" w:hAnsi="Garamond"/>
          <w:bCs/>
          <w:sz w:val="24"/>
          <w:szCs w:val="24"/>
        </w:rPr>
        <w:t>ordinariamente</w:t>
      </w:r>
      <w:r w:rsidRPr="00602F4C">
        <w:rPr>
          <w:rFonts w:ascii="Garamond" w:eastAsia="Times New Roman" w:hAnsi="Garamond"/>
          <w:bCs/>
          <w:sz w:val="24"/>
          <w:szCs w:val="24"/>
        </w:rPr>
        <w:t xml:space="preserve"> prevista dall’articolo 36, comma 2, lett. b) del codice; l’invito è rivolto ad almeno cinque soggetti, se sussistono in tale numero aspiranti idonei nel rispetto del criterio di rotazione degli inviti </w:t>
      </w:r>
      <w:r w:rsidRPr="00C80E17">
        <w:rPr>
          <w:rFonts w:ascii="Garamond" w:eastAsia="Times New Roman" w:hAnsi="Garamond"/>
          <w:b/>
          <w:bCs/>
          <w:sz w:val="24"/>
          <w:szCs w:val="24"/>
        </w:rPr>
        <w:t>(art. 157, comma 2, codice)</w:t>
      </w:r>
      <w:r>
        <w:rPr>
          <w:rFonts w:ascii="Garamond" w:eastAsia="Times New Roman" w:hAnsi="Garamond"/>
          <w:bCs/>
          <w:sz w:val="24"/>
          <w:szCs w:val="24"/>
        </w:rPr>
        <w:t>.</w:t>
      </w:r>
    </w:p>
    <w:p w:rsidR="004B5C38" w:rsidRDefault="004B5C38" w:rsidP="00DC1D98">
      <w:pPr>
        <w:spacing w:after="0" w:line="240" w:lineRule="auto"/>
        <w:ind w:right="-17"/>
        <w:jc w:val="both"/>
        <w:rPr>
          <w:rFonts w:ascii="Garamond" w:eastAsia="Times New Roman" w:hAnsi="Garamond"/>
          <w:bCs/>
          <w:sz w:val="24"/>
          <w:szCs w:val="24"/>
        </w:rPr>
      </w:pPr>
    </w:p>
    <w:p w:rsidR="0029628D" w:rsidRDefault="00DE3C28" w:rsidP="00DC1D98">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Con riguardo agli interventi relativi alla </w:t>
      </w:r>
      <w:r w:rsidRPr="00112F16">
        <w:rPr>
          <w:rFonts w:ascii="Garamond" w:eastAsia="Times New Roman" w:hAnsi="Garamond"/>
          <w:b/>
          <w:bCs/>
          <w:sz w:val="24"/>
          <w:szCs w:val="24"/>
          <w:u w:val="single"/>
        </w:rPr>
        <w:t>ricostruzione post-sisma</w:t>
      </w:r>
      <w:r>
        <w:rPr>
          <w:rFonts w:ascii="Garamond" w:eastAsia="Times New Roman" w:hAnsi="Garamond"/>
          <w:bCs/>
          <w:sz w:val="24"/>
          <w:szCs w:val="24"/>
        </w:rPr>
        <w:t xml:space="preserve">, </w:t>
      </w:r>
      <w:r w:rsidR="004B5C38">
        <w:rPr>
          <w:rFonts w:ascii="Garamond" w:eastAsia="Times New Roman" w:hAnsi="Garamond"/>
          <w:bCs/>
          <w:sz w:val="24"/>
          <w:szCs w:val="24"/>
        </w:rPr>
        <w:t>“</w:t>
      </w:r>
      <w:r w:rsidR="0051011B" w:rsidRPr="0051011B">
        <w:rPr>
          <w:rFonts w:ascii="Garamond" w:eastAsia="Times New Roman" w:hAnsi="Garamond"/>
          <w:b/>
          <w:bCs/>
          <w:i/>
          <w:sz w:val="24"/>
          <w:szCs w:val="24"/>
        </w:rPr>
        <w:t>L</w:t>
      </w:r>
      <w:r w:rsidR="004B5C38" w:rsidRPr="0051011B">
        <w:rPr>
          <w:rFonts w:ascii="Garamond" w:eastAsia="Times New Roman" w:hAnsi="Garamond"/>
          <w:b/>
          <w:bCs/>
          <w:i/>
          <w:sz w:val="24"/>
          <w:szCs w:val="24"/>
        </w:rPr>
        <w:t>a predisposizione di progetti</w:t>
      </w:r>
      <w:r w:rsidR="004B5C38">
        <w:rPr>
          <w:rFonts w:ascii="Garamond" w:eastAsia="Times New Roman" w:hAnsi="Garamond"/>
          <w:bCs/>
          <w:sz w:val="24"/>
          <w:szCs w:val="24"/>
        </w:rPr>
        <w:t>”</w:t>
      </w:r>
      <w:r w:rsidR="00602F4C" w:rsidRPr="00602F4C">
        <w:rPr>
          <w:rFonts w:ascii="Garamond" w:eastAsia="Times New Roman" w:hAnsi="Garamond"/>
          <w:bCs/>
          <w:sz w:val="24"/>
          <w:szCs w:val="24"/>
        </w:rPr>
        <w:t xml:space="preserve"> di importo pari o superiore a 40.000 e inferiore a </w:t>
      </w:r>
      <w:r w:rsidR="00211A91" w:rsidRPr="00211A91">
        <w:rPr>
          <w:rFonts w:ascii="Garamond" w:eastAsia="Times New Roman" w:hAnsi="Garamond"/>
          <w:bCs/>
          <w:sz w:val="24"/>
          <w:szCs w:val="24"/>
        </w:rPr>
        <w:t>221.000</w:t>
      </w:r>
      <w:r w:rsidR="00602F4C" w:rsidRPr="00602F4C">
        <w:rPr>
          <w:rFonts w:ascii="Garamond" w:eastAsia="Times New Roman" w:hAnsi="Garamond"/>
          <w:bCs/>
          <w:sz w:val="24"/>
          <w:szCs w:val="24"/>
        </w:rPr>
        <w:t xml:space="preserve"> euro</w:t>
      </w:r>
      <w:r w:rsidR="00112F16">
        <w:rPr>
          <w:rFonts w:ascii="Garamond" w:eastAsia="Times New Roman" w:hAnsi="Garamond"/>
          <w:bCs/>
          <w:sz w:val="24"/>
          <w:szCs w:val="24"/>
        </w:rPr>
        <w:t xml:space="preserve"> (nuova soglia comunitaria)</w:t>
      </w:r>
      <w:r w:rsidR="004B5C38">
        <w:rPr>
          <w:rFonts w:ascii="Garamond" w:eastAsia="Times New Roman" w:hAnsi="Garamond"/>
          <w:bCs/>
          <w:sz w:val="24"/>
          <w:szCs w:val="24"/>
        </w:rPr>
        <w:t xml:space="preserve">, ai sensi dell’art. 14, comma 4bis del DL 189/16 (conv. con L. </w:t>
      </w:r>
      <w:r w:rsidR="004B5C38" w:rsidRPr="004B5C38">
        <w:rPr>
          <w:rFonts w:ascii="Garamond" w:eastAsia="Times New Roman" w:hAnsi="Garamond"/>
          <w:bCs/>
          <w:sz w:val="24"/>
          <w:szCs w:val="24"/>
        </w:rPr>
        <w:t>229</w:t>
      </w:r>
      <w:r w:rsidR="004B5C38">
        <w:rPr>
          <w:rFonts w:ascii="Garamond" w:eastAsia="Times New Roman" w:hAnsi="Garamond"/>
          <w:bCs/>
          <w:sz w:val="24"/>
          <w:szCs w:val="24"/>
        </w:rPr>
        <w:t>/16 e mod. con D.L. 8/17)</w:t>
      </w:r>
      <w:r w:rsidR="00602F4C" w:rsidRPr="00602F4C">
        <w:rPr>
          <w:rFonts w:ascii="Garamond" w:eastAsia="Times New Roman" w:hAnsi="Garamond"/>
          <w:bCs/>
          <w:sz w:val="24"/>
          <w:szCs w:val="24"/>
        </w:rPr>
        <w:t xml:space="preserve"> </w:t>
      </w:r>
      <w:r w:rsidR="0051011B">
        <w:rPr>
          <w:rFonts w:ascii="Garamond" w:eastAsia="Times New Roman" w:hAnsi="Garamond"/>
          <w:bCs/>
          <w:sz w:val="24"/>
          <w:szCs w:val="24"/>
        </w:rPr>
        <w:t>può</w:t>
      </w:r>
      <w:r w:rsidR="00602F4C" w:rsidRPr="00602F4C">
        <w:rPr>
          <w:rFonts w:ascii="Garamond" w:eastAsia="Times New Roman" w:hAnsi="Garamond"/>
          <w:bCs/>
          <w:sz w:val="24"/>
          <w:szCs w:val="24"/>
        </w:rPr>
        <w:t xml:space="preserve"> essere affidat</w:t>
      </w:r>
      <w:r w:rsidR="0051011B">
        <w:rPr>
          <w:rFonts w:ascii="Garamond" w:eastAsia="Times New Roman" w:hAnsi="Garamond"/>
          <w:bCs/>
          <w:sz w:val="24"/>
          <w:szCs w:val="24"/>
        </w:rPr>
        <w:t>a</w:t>
      </w:r>
      <w:r w:rsidR="00602F4C" w:rsidRPr="00602F4C">
        <w:rPr>
          <w:rFonts w:ascii="Garamond" w:eastAsia="Times New Roman" w:hAnsi="Garamond"/>
          <w:bCs/>
          <w:sz w:val="24"/>
          <w:szCs w:val="24"/>
        </w:rPr>
        <w:t xml:space="preserve"> dalle stazioni appaltanti </w:t>
      </w:r>
      <w:r w:rsidR="004B5C38">
        <w:rPr>
          <w:rFonts w:ascii="Garamond" w:eastAsia="Times New Roman" w:hAnsi="Garamond"/>
          <w:bCs/>
          <w:sz w:val="24"/>
          <w:szCs w:val="24"/>
        </w:rPr>
        <w:t xml:space="preserve">a </w:t>
      </w:r>
      <w:r w:rsidR="004B5C38" w:rsidRPr="004B5C38">
        <w:rPr>
          <w:rFonts w:ascii="Garamond" w:eastAsia="Times New Roman" w:hAnsi="Garamond"/>
          <w:bCs/>
          <w:sz w:val="24"/>
          <w:szCs w:val="24"/>
        </w:rPr>
        <w:t>uno o pi</w:t>
      </w:r>
      <w:r w:rsidR="004B5C38">
        <w:rPr>
          <w:rFonts w:ascii="Garamond" w:eastAsia="Times New Roman" w:hAnsi="Garamond"/>
          <w:bCs/>
          <w:sz w:val="24"/>
          <w:szCs w:val="24"/>
        </w:rPr>
        <w:t>ù</w:t>
      </w:r>
      <w:r w:rsidR="004B5C38" w:rsidRPr="004B5C38">
        <w:rPr>
          <w:rFonts w:ascii="Garamond" w:eastAsia="Times New Roman" w:hAnsi="Garamond"/>
          <w:bCs/>
          <w:sz w:val="24"/>
          <w:szCs w:val="24"/>
        </w:rPr>
        <w:t xml:space="preserve"> degli operatori economici indicati all'art</w:t>
      </w:r>
      <w:r w:rsidR="004B5C38">
        <w:rPr>
          <w:rFonts w:ascii="Garamond" w:eastAsia="Times New Roman" w:hAnsi="Garamond"/>
          <w:bCs/>
          <w:sz w:val="24"/>
          <w:szCs w:val="24"/>
        </w:rPr>
        <w:t>.</w:t>
      </w:r>
      <w:r w:rsidR="004B5C38" w:rsidRPr="004B5C38">
        <w:rPr>
          <w:rFonts w:ascii="Garamond" w:eastAsia="Times New Roman" w:hAnsi="Garamond"/>
          <w:bCs/>
          <w:sz w:val="24"/>
          <w:szCs w:val="24"/>
        </w:rPr>
        <w:t xml:space="preserve"> 46 del </w:t>
      </w:r>
      <w:r w:rsidR="004B5C38">
        <w:rPr>
          <w:rFonts w:ascii="Garamond" w:eastAsia="Times New Roman" w:hAnsi="Garamond"/>
          <w:bCs/>
          <w:sz w:val="24"/>
          <w:szCs w:val="24"/>
        </w:rPr>
        <w:t>Codice</w:t>
      </w:r>
      <w:r w:rsidR="004B5C38" w:rsidRPr="004B5C38">
        <w:rPr>
          <w:rFonts w:ascii="Garamond" w:eastAsia="Times New Roman" w:hAnsi="Garamond"/>
          <w:bCs/>
          <w:sz w:val="24"/>
          <w:szCs w:val="24"/>
        </w:rPr>
        <w:t xml:space="preserve">, </w:t>
      </w:r>
      <w:r w:rsidR="0051011B">
        <w:rPr>
          <w:rFonts w:ascii="Garamond" w:eastAsia="Times New Roman" w:hAnsi="Garamond"/>
          <w:bCs/>
          <w:sz w:val="24"/>
          <w:szCs w:val="24"/>
        </w:rPr>
        <w:t>“</w:t>
      </w:r>
      <w:r w:rsidR="004B5C38" w:rsidRPr="00112F16">
        <w:rPr>
          <w:rFonts w:ascii="Garamond" w:eastAsia="Times New Roman" w:hAnsi="Garamond"/>
          <w:bCs/>
          <w:i/>
          <w:sz w:val="24"/>
          <w:szCs w:val="24"/>
        </w:rPr>
        <w:t>purché iscritti nell'</w:t>
      </w:r>
      <w:r w:rsidR="0051011B" w:rsidRPr="00112F16">
        <w:rPr>
          <w:rFonts w:ascii="Garamond" w:eastAsia="Times New Roman" w:hAnsi="Garamond"/>
          <w:bCs/>
          <w:i/>
          <w:sz w:val="24"/>
          <w:szCs w:val="24"/>
        </w:rPr>
        <w:t>e</w:t>
      </w:r>
      <w:r w:rsidR="004B5C38" w:rsidRPr="00112F16">
        <w:rPr>
          <w:rFonts w:ascii="Garamond" w:eastAsia="Times New Roman" w:hAnsi="Garamond"/>
          <w:bCs/>
          <w:i/>
          <w:sz w:val="24"/>
          <w:szCs w:val="24"/>
        </w:rPr>
        <w:t>lenco speciale di cui all'art. 34</w:t>
      </w:r>
      <w:r w:rsidR="0051011B">
        <w:rPr>
          <w:rFonts w:ascii="Garamond" w:eastAsia="Times New Roman" w:hAnsi="Garamond"/>
          <w:bCs/>
          <w:sz w:val="24"/>
          <w:szCs w:val="24"/>
        </w:rPr>
        <w:t>”</w:t>
      </w:r>
      <w:r w:rsidR="004B5C38" w:rsidRPr="004B5C38">
        <w:rPr>
          <w:rFonts w:ascii="Garamond" w:eastAsia="Times New Roman" w:hAnsi="Garamond"/>
          <w:bCs/>
          <w:sz w:val="24"/>
          <w:szCs w:val="24"/>
        </w:rPr>
        <w:t xml:space="preserve"> del </w:t>
      </w:r>
      <w:r w:rsidR="004B5C38">
        <w:rPr>
          <w:rFonts w:ascii="Garamond" w:eastAsia="Times New Roman" w:hAnsi="Garamond"/>
          <w:bCs/>
          <w:sz w:val="24"/>
          <w:szCs w:val="24"/>
        </w:rPr>
        <w:t>DL citato:</w:t>
      </w:r>
      <w:r w:rsidR="004B5C38" w:rsidRPr="004B5C38">
        <w:rPr>
          <w:rFonts w:ascii="Garamond" w:eastAsia="Times New Roman" w:hAnsi="Garamond"/>
          <w:bCs/>
          <w:sz w:val="24"/>
          <w:szCs w:val="24"/>
        </w:rPr>
        <w:t xml:space="preserve"> </w:t>
      </w:r>
      <w:r w:rsidR="004B5C38">
        <w:rPr>
          <w:rFonts w:ascii="Garamond" w:eastAsia="Times New Roman" w:hAnsi="Garamond"/>
          <w:bCs/>
          <w:sz w:val="24"/>
          <w:szCs w:val="24"/>
        </w:rPr>
        <w:t>tuttavia l</w:t>
      </w:r>
      <w:r w:rsidR="004B5C38" w:rsidRPr="004B5C38">
        <w:rPr>
          <w:rFonts w:ascii="Garamond" w:eastAsia="Times New Roman" w:hAnsi="Garamond"/>
          <w:bCs/>
          <w:sz w:val="24"/>
          <w:szCs w:val="24"/>
        </w:rPr>
        <w:t xml:space="preserve">'affidamento degli incarichi </w:t>
      </w:r>
      <w:r w:rsidR="004B5C38">
        <w:rPr>
          <w:rFonts w:ascii="Garamond" w:eastAsia="Times New Roman" w:hAnsi="Garamond"/>
          <w:bCs/>
          <w:sz w:val="24"/>
          <w:szCs w:val="24"/>
        </w:rPr>
        <w:t>suddetto</w:t>
      </w:r>
      <w:r w:rsidR="004B5C38" w:rsidRPr="004B5C38">
        <w:rPr>
          <w:rFonts w:ascii="Garamond" w:eastAsia="Times New Roman" w:hAnsi="Garamond"/>
          <w:bCs/>
          <w:sz w:val="24"/>
          <w:szCs w:val="24"/>
        </w:rPr>
        <w:t xml:space="preserve"> </w:t>
      </w:r>
      <w:r w:rsidR="004B5C38">
        <w:rPr>
          <w:rFonts w:ascii="Garamond" w:eastAsia="Times New Roman" w:hAnsi="Garamond"/>
          <w:bCs/>
          <w:sz w:val="24"/>
          <w:szCs w:val="24"/>
        </w:rPr>
        <w:t>è</w:t>
      </w:r>
      <w:r w:rsidR="004B5C38" w:rsidRPr="004B5C38">
        <w:rPr>
          <w:rFonts w:ascii="Garamond" w:eastAsia="Times New Roman" w:hAnsi="Garamond"/>
          <w:bCs/>
          <w:sz w:val="24"/>
          <w:szCs w:val="24"/>
        </w:rPr>
        <w:t xml:space="preserve"> consentito </w:t>
      </w:r>
      <w:r w:rsidR="0051011B">
        <w:rPr>
          <w:rFonts w:ascii="Garamond" w:eastAsia="Times New Roman" w:hAnsi="Garamond"/>
          <w:bCs/>
          <w:sz w:val="24"/>
          <w:szCs w:val="24"/>
        </w:rPr>
        <w:t>“</w:t>
      </w:r>
      <w:r w:rsidR="004B5C38" w:rsidRPr="0051011B">
        <w:rPr>
          <w:rFonts w:ascii="Garamond" w:eastAsia="Times New Roman" w:hAnsi="Garamond"/>
          <w:b/>
          <w:bCs/>
          <w:i/>
          <w:sz w:val="24"/>
          <w:szCs w:val="24"/>
          <w:u w:val="single"/>
        </w:rPr>
        <w:t>esclusivamente in caso di indisponibilità di personale, dipendente ovvero reclutato secondo le modalit</w:t>
      </w:r>
      <w:r w:rsidR="0051011B" w:rsidRPr="0051011B">
        <w:rPr>
          <w:rFonts w:ascii="Garamond" w:eastAsia="Times New Roman" w:hAnsi="Garamond"/>
          <w:b/>
          <w:bCs/>
          <w:i/>
          <w:sz w:val="24"/>
          <w:szCs w:val="24"/>
          <w:u w:val="single"/>
        </w:rPr>
        <w:t>à</w:t>
      </w:r>
      <w:r w:rsidR="004B5C38" w:rsidRPr="0051011B">
        <w:rPr>
          <w:rFonts w:ascii="Garamond" w:eastAsia="Times New Roman" w:hAnsi="Garamond"/>
          <w:b/>
          <w:bCs/>
          <w:i/>
          <w:sz w:val="24"/>
          <w:szCs w:val="24"/>
          <w:u w:val="single"/>
        </w:rPr>
        <w:t xml:space="preserve"> previste dai commi 3-bis e seguenti dell'articolo 50-bis del presente decreto</w:t>
      </w:r>
      <w:r w:rsidR="0051011B">
        <w:rPr>
          <w:rFonts w:ascii="Garamond" w:eastAsia="Times New Roman" w:hAnsi="Garamond"/>
          <w:bCs/>
          <w:sz w:val="24"/>
          <w:szCs w:val="24"/>
        </w:rPr>
        <w:t>”</w:t>
      </w:r>
      <w:r w:rsidR="008825A4">
        <w:rPr>
          <w:rFonts w:ascii="Garamond" w:eastAsia="Times New Roman" w:hAnsi="Garamond"/>
          <w:bCs/>
          <w:sz w:val="24"/>
          <w:szCs w:val="24"/>
        </w:rPr>
        <w:t xml:space="preserve"> </w:t>
      </w:r>
      <w:r w:rsidR="008825A4" w:rsidRPr="00112F16">
        <w:rPr>
          <w:rFonts w:ascii="Garamond" w:eastAsia="Times New Roman" w:hAnsi="Garamond"/>
          <w:b/>
          <w:bCs/>
          <w:sz w:val="24"/>
          <w:szCs w:val="24"/>
        </w:rPr>
        <w:t>(del che dovrà darsi debitamente conto nella determina/decreto a contrarre)</w:t>
      </w:r>
      <w:r w:rsidR="004B5C38" w:rsidRPr="004B5C38">
        <w:rPr>
          <w:rFonts w:ascii="Garamond" w:eastAsia="Times New Roman" w:hAnsi="Garamond"/>
          <w:bCs/>
          <w:sz w:val="24"/>
          <w:szCs w:val="24"/>
        </w:rPr>
        <w:t xml:space="preserve">, </w:t>
      </w:r>
      <w:r w:rsidR="0051011B">
        <w:rPr>
          <w:rFonts w:ascii="Garamond" w:eastAsia="Times New Roman" w:hAnsi="Garamond"/>
          <w:bCs/>
          <w:sz w:val="24"/>
          <w:szCs w:val="24"/>
        </w:rPr>
        <w:t xml:space="preserve">a operatori </w:t>
      </w:r>
      <w:r w:rsidR="004B5C38" w:rsidRPr="004B5C38">
        <w:rPr>
          <w:rFonts w:ascii="Garamond" w:eastAsia="Times New Roman" w:hAnsi="Garamond"/>
          <w:bCs/>
          <w:sz w:val="24"/>
          <w:szCs w:val="24"/>
        </w:rPr>
        <w:t>in possesso della necessaria professionalit</w:t>
      </w:r>
      <w:r w:rsidR="0051011B">
        <w:rPr>
          <w:rFonts w:ascii="Garamond" w:eastAsia="Times New Roman" w:hAnsi="Garamond"/>
          <w:bCs/>
          <w:sz w:val="24"/>
          <w:szCs w:val="24"/>
        </w:rPr>
        <w:t>à</w:t>
      </w:r>
      <w:r w:rsidR="004B5C38" w:rsidRPr="004B5C38">
        <w:rPr>
          <w:rFonts w:ascii="Garamond" w:eastAsia="Times New Roman" w:hAnsi="Garamond"/>
          <w:bCs/>
          <w:sz w:val="24"/>
          <w:szCs w:val="24"/>
        </w:rPr>
        <w:t xml:space="preserve">, mediante </w:t>
      </w:r>
      <w:r w:rsidR="0051011B">
        <w:rPr>
          <w:rFonts w:ascii="Garamond" w:eastAsia="Times New Roman" w:hAnsi="Garamond"/>
          <w:bCs/>
          <w:sz w:val="24"/>
          <w:szCs w:val="24"/>
        </w:rPr>
        <w:t>“</w:t>
      </w:r>
      <w:r w:rsidR="004B5C38" w:rsidRPr="0051011B">
        <w:rPr>
          <w:rFonts w:ascii="Garamond" w:eastAsia="Times New Roman" w:hAnsi="Garamond"/>
          <w:b/>
          <w:bCs/>
          <w:i/>
          <w:sz w:val="24"/>
          <w:szCs w:val="24"/>
        </w:rPr>
        <w:t>procedure negoziate con almeno cinque professionisti iscritti nel predetto elenco speciale</w:t>
      </w:r>
      <w:r w:rsidR="0051011B">
        <w:rPr>
          <w:rFonts w:ascii="Garamond" w:eastAsia="Times New Roman" w:hAnsi="Garamond"/>
          <w:bCs/>
          <w:sz w:val="24"/>
          <w:szCs w:val="24"/>
        </w:rPr>
        <w:t>”.</w:t>
      </w:r>
    </w:p>
    <w:p w:rsidR="004B5C38" w:rsidRDefault="004B5C38" w:rsidP="00DC1D98">
      <w:pPr>
        <w:spacing w:after="0" w:line="240" w:lineRule="auto"/>
        <w:ind w:right="-17"/>
        <w:jc w:val="both"/>
        <w:rPr>
          <w:rFonts w:ascii="Garamond" w:eastAsia="Times New Roman" w:hAnsi="Garamond"/>
          <w:bCs/>
          <w:sz w:val="24"/>
          <w:szCs w:val="24"/>
        </w:rPr>
      </w:pPr>
    </w:p>
    <w:p w:rsidR="006555D7" w:rsidRPr="006555D7" w:rsidRDefault="00EF7AD1" w:rsidP="006555D7">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Le Linee Guida n. 1, in assenza come visto di una analitica disciplina di legge, enunciano alcuni </w:t>
      </w:r>
      <w:r w:rsidR="006555D7" w:rsidRPr="006555D7">
        <w:rPr>
          <w:rFonts w:ascii="Garamond" w:eastAsia="Times New Roman" w:hAnsi="Garamond"/>
          <w:bCs/>
          <w:sz w:val="24"/>
          <w:szCs w:val="24"/>
        </w:rPr>
        <w:t xml:space="preserve">criteri </w:t>
      </w:r>
      <w:r>
        <w:rPr>
          <w:rFonts w:ascii="Garamond" w:eastAsia="Times New Roman" w:hAnsi="Garamond"/>
          <w:bCs/>
          <w:sz w:val="24"/>
          <w:szCs w:val="24"/>
        </w:rPr>
        <w:t xml:space="preserve">generali, </w:t>
      </w:r>
      <w:r w:rsidR="0051011B">
        <w:rPr>
          <w:rFonts w:ascii="Garamond" w:eastAsia="Times New Roman" w:hAnsi="Garamond"/>
          <w:bCs/>
          <w:sz w:val="24"/>
          <w:szCs w:val="24"/>
        </w:rPr>
        <w:t>tra i quali si richiamano</w:t>
      </w:r>
      <w:r w:rsidR="006555D7" w:rsidRPr="006555D7">
        <w:rPr>
          <w:rFonts w:ascii="Garamond" w:eastAsia="Times New Roman" w:hAnsi="Garamond"/>
          <w:bCs/>
          <w:sz w:val="24"/>
          <w:szCs w:val="24"/>
        </w:rPr>
        <w:t>:</w:t>
      </w:r>
    </w:p>
    <w:p w:rsidR="006555D7" w:rsidRPr="006555D7" w:rsidRDefault="00EF7AD1" w:rsidP="006555D7">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1.</w:t>
      </w:r>
      <w:r w:rsidR="006555D7" w:rsidRPr="006555D7">
        <w:rPr>
          <w:rFonts w:ascii="Garamond" w:eastAsia="Times New Roman" w:hAnsi="Garamond"/>
          <w:bCs/>
          <w:sz w:val="24"/>
          <w:szCs w:val="24"/>
        </w:rPr>
        <w:t xml:space="preserve"> il divieto di partecipazione del professionista singolarmente e come componente di un raggruppamento di professionisti o società di professionisti, nonché la contemporanea partecipazione a più di un raggruppamento</w:t>
      </w:r>
      <w:r>
        <w:rPr>
          <w:rFonts w:ascii="Garamond" w:eastAsia="Times New Roman" w:hAnsi="Garamond"/>
          <w:bCs/>
          <w:sz w:val="24"/>
          <w:szCs w:val="24"/>
        </w:rPr>
        <w:t xml:space="preserve"> (riproponendo regole applicate nella vigenza del codice superato e del relativo regolamento attuativo)</w:t>
      </w:r>
      <w:r w:rsidR="006555D7" w:rsidRPr="006555D7">
        <w:rPr>
          <w:rFonts w:ascii="Garamond" w:eastAsia="Times New Roman" w:hAnsi="Garamond"/>
          <w:bCs/>
          <w:sz w:val="24"/>
          <w:szCs w:val="24"/>
        </w:rPr>
        <w:t>;</w:t>
      </w:r>
    </w:p>
    <w:p w:rsidR="006555D7" w:rsidRPr="006555D7" w:rsidRDefault="00EF7AD1" w:rsidP="006555D7">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2.</w:t>
      </w:r>
      <w:r w:rsidR="006555D7" w:rsidRPr="006555D7">
        <w:rPr>
          <w:rFonts w:ascii="Garamond" w:eastAsia="Times New Roman" w:hAnsi="Garamond"/>
          <w:bCs/>
          <w:sz w:val="24"/>
          <w:szCs w:val="24"/>
        </w:rPr>
        <w:t xml:space="preserve"> il divieto di cumulo degli incarichi al di sopra di un certo importo totale che potrebbe essere ravvisato nella soglia di rilevanza comunitaria, in un arco temporale certo</w:t>
      </w:r>
      <w:r>
        <w:rPr>
          <w:rFonts w:ascii="Garamond" w:eastAsia="Times New Roman" w:hAnsi="Garamond"/>
          <w:bCs/>
          <w:sz w:val="24"/>
          <w:szCs w:val="24"/>
        </w:rPr>
        <w:t xml:space="preserve"> (</w:t>
      </w:r>
      <w:r w:rsidR="00112F16">
        <w:rPr>
          <w:rFonts w:ascii="Garamond" w:eastAsia="Times New Roman" w:hAnsi="Garamond"/>
          <w:bCs/>
          <w:sz w:val="24"/>
          <w:szCs w:val="24"/>
        </w:rPr>
        <w:t>v. dietro per la proposta contenuta negli schemi</w:t>
      </w:r>
      <w:r>
        <w:rPr>
          <w:rFonts w:ascii="Garamond" w:eastAsia="Times New Roman" w:hAnsi="Garamond"/>
          <w:bCs/>
          <w:sz w:val="24"/>
          <w:szCs w:val="24"/>
        </w:rPr>
        <w:t>)</w:t>
      </w:r>
      <w:r w:rsidR="006555D7" w:rsidRPr="006555D7">
        <w:rPr>
          <w:rFonts w:ascii="Garamond" w:eastAsia="Times New Roman" w:hAnsi="Garamond"/>
          <w:bCs/>
          <w:sz w:val="24"/>
          <w:szCs w:val="24"/>
        </w:rPr>
        <w:t>;</w:t>
      </w:r>
    </w:p>
    <w:p w:rsidR="006555D7" w:rsidRPr="006555D7" w:rsidRDefault="0051011B" w:rsidP="006555D7">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3</w:t>
      </w:r>
      <w:r w:rsidR="00EF7AD1">
        <w:rPr>
          <w:rFonts w:ascii="Garamond" w:eastAsia="Times New Roman" w:hAnsi="Garamond"/>
          <w:bCs/>
          <w:sz w:val="24"/>
          <w:szCs w:val="24"/>
        </w:rPr>
        <w:t>.</w:t>
      </w:r>
      <w:r w:rsidR="006555D7" w:rsidRPr="006555D7">
        <w:rPr>
          <w:rFonts w:ascii="Garamond" w:eastAsia="Times New Roman" w:hAnsi="Garamond"/>
          <w:bCs/>
          <w:sz w:val="24"/>
          <w:szCs w:val="24"/>
        </w:rPr>
        <w:t xml:space="preserve"> la correlazione dell’esperienza pregressa richiesta al professionista con le tipologie progettuali previste dall’amministrazione, così come individuate in sede di programmazione, in modo che le professionalità richieste rispondano concretamente alle classi e categorie dei lavori da realizzare</w:t>
      </w:r>
      <w:r w:rsidR="00EF7AD1">
        <w:rPr>
          <w:rFonts w:ascii="Garamond" w:eastAsia="Times New Roman" w:hAnsi="Garamond"/>
          <w:bCs/>
          <w:sz w:val="24"/>
          <w:szCs w:val="24"/>
        </w:rPr>
        <w:t xml:space="preserve"> (vedi quanto già riassunto e richiamato nelle regole fondamentali comuni sopra esposte)</w:t>
      </w:r>
      <w:r w:rsidR="007F6AB7">
        <w:rPr>
          <w:rFonts w:ascii="Garamond" w:eastAsia="Times New Roman" w:hAnsi="Garamond"/>
          <w:bCs/>
          <w:sz w:val="24"/>
          <w:szCs w:val="24"/>
        </w:rPr>
        <w:t>.</w:t>
      </w:r>
    </w:p>
    <w:p w:rsidR="007F6AB7" w:rsidRDefault="007F6AB7" w:rsidP="007F6AB7">
      <w:pPr>
        <w:spacing w:after="0" w:line="240" w:lineRule="auto"/>
        <w:ind w:right="-17"/>
        <w:jc w:val="both"/>
        <w:rPr>
          <w:rFonts w:ascii="Garamond" w:eastAsia="Times New Roman" w:hAnsi="Garamond"/>
          <w:bCs/>
          <w:sz w:val="24"/>
          <w:szCs w:val="24"/>
        </w:rPr>
      </w:pPr>
    </w:p>
    <w:p w:rsidR="007F6AB7" w:rsidRPr="007F6AB7" w:rsidRDefault="00112F16" w:rsidP="007F6AB7">
      <w:pPr>
        <w:spacing w:after="0" w:line="240" w:lineRule="auto"/>
        <w:ind w:right="-17"/>
        <w:jc w:val="both"/>
        <w:rPr>
          <w:rFonts w:ascii="Garamond" w:eastAsia="Times New Roman" w:hAnsi="Garamond"/>
          <w:bCs/>
          <w:sz w:val="24"/>
          <w:szCs w:val="24"/>
        </w:rPr>
      </w:pPr>
      <w:r w:rsidRPr="00112F16">
        <w:rPr>
          <w:rFonts w:ascii="Garamond" w:eastAsia="Times New Roman" w:hAnsi="Garamond"/>
          <w:b/>
          <w:bCs/>
          <w:i/>
          <w:sz w:val="24"/>
          <w:szCs w:val="24"/>
        </w:rPr>
        <w:t xml:space="preserve">Come già evidenziato, </w:t>
      </w:r>
      <w:r>
        <w:rPr>
          <w:rFonts w:ascii="Garamond" w:eastAsia="Times New Roman" w:hAnsi="Garamond"/>
          <w:b/>
          <w:bCs/>
          <w:sz w:val="24"/>
          <w:szCs w:val="24"/>
        </w:rPr>
        <w:t xml:space="preserve">è </w:t>
      </w:r>
      <w:r w:rsidR="002F1309" w:rsidRPr="002F1309">
        <w:rPr>
          <w:rFonts w:ascii="Garamond" w:eastAsia="Times New Roman" w:hAnsi="Garamond"/>
          <w:b/>
          <w:bCs/>
          <w:sz w:val="24"/>
          <w:szCs w:val="24"/>
        </w:rPr>
        <w:t>opportuno che le stazioni appaltanti, al fine di garantire una maggiore partecipazione, inviino copia dell’avviso relativo all’avvi</w:t>
      </w:r>
      <w:r>
        <w:rPr>
          <w:rFonts w:ascii="Garamond" w:eastAsia="Times New Roman" w:hAnsi="Garamond"/>
          <w:b/>
          <w:bCs/>
          <w:sz w:val="24"/>
          <w:szCs w:val="24"/>
        </w:rPr>
        <w:t>s</w:t>
      </w:r>
      <w:r w:rsidR="002F1309" w:rsidRPr="002F1309">
        <w:rPr>
          <w:rFonts w:ascii="Garamond" w:eastAsia="Times New Roman" w:hAnsi="Garamond"/>
          <w:b/>
          <w:bCs/>
          <w:sz w:val="24"/>
          <w:szCs w:val="24"/>
        </w:rPr>
        <w:t xml:space="preserve">o </w:t>
      </w:r>
      <w:r>
        <w:rPr>
          <w:rFonts w:ascii="Garamond" w:eastAsia="Times New Roman" w:hAnsi="Garamond"/>
          <w:b/>
          <w:bCs/>
          <w:sz w:val="24"/>
          <w:szCs w:val="24"/>
        </w:rPr>
        <w:t xml:space="preserve">per </w:t>
      </w:r>
      <w:r w:rsidR="002F1309" w:rsidRPr="002F1309">
        <w:rPr>
          <w:rFonts w:ascii="Garamond" w:eastAsia="Times New Roman" w:hAnsi="Garamond"/>
          <w:b/>
          <w:bCs/>
          <w:sz w:val="24"/>
          <w:szCs w:val="24"/>
        </w:rPr>
        <w:t>indagine di mercato agli ordini professionali, nazionali e territoriali. Inoltre è opportuna la pubblicazione di tutti gli avvisi e bandi anche sul sito del Vice-Commissario straordinario per la ricostruzione per la Regione Marche.</w:t>
      </w:r>
      <w:r w:rsidR="002F1309">
        <w:rPr>
          <w:rFonts w:ascii="Garamond" w:eastAsia="Times New Roman" w:hAnsi="Garamond"/>
          <w:b/>
          <w:bCs/>
          <w:sz w:val="24"/>
          <w:szCs w:val="24"/>
        </w:rPr>
        <w:t xml:space="preserve"> </w:t>
      </w:r>
      <w:r w:rsidR="007F6AB7">
        <w:rPr>
          <w:rFonts w:ascii="Garamond" w:eastAsia="Times New Roman" w:hAnsi="Garamond"/>
          <w:bCs/>
          <w:sz w:val="24"/>
          <w:szCs w:val="24"/>
        </w:rPr>
        <w:t>L</w:t>
      </w:r>
      <w:r w:rsidR="007F6AB7" w:rsidRPr="007F6AB7">
        <w:rPr>
          <w:rFonts w:ascii="Garamond" w:eastAsia="Times New Roman" w:hAnsi="Garamond"/>
          <w:bCs/>
          <w:sz w:val="24"/>
          <w:szCs w:val="24"/>
        </w:rPr>
        <w:t xml:space="preserve">a scelta dell’affidatario deve essere </w:t>
      </w:r>
      <w:r w:rsidR="007F6AB7">
        <w:rPr>
          <w:rFonts w:ascii="Garamond" w:eastAsia="Times New Roman" w:hAnsi="Garamond"/>
          <w:bCs/>
          <w:sz w:val="24"/>
          <w:szCs w:val="24"/>
        </w:rPr>
        <w:t xml:space="preserve">comunque </w:t>
      </w:r>
      <w:r w:rsidR="007F6AB7" w:rsidRPr="007F6AB7">
        <w:rPr>
          <w:rFonts w:ascii="Garamond" w:eastAsia="Times New Roman" w:hAnsi="Garamond"/>
          <w:bCs/>
          <w:sz w:val="24"/>
          <w:szCs w:val="24"/>
        </w:rPr>
        <w:t>tempestivamente resa nota mediante la pubblicazione dell’esito della selezione, al massimo entro trenta giorni (art. 36, comma 2, lett. b), ultimo periodo, codice)</w:t>
      </w:r>
      <w:r w:rsidR="007F6AB7">
        <w:rPr>
          <w:rFonts w:ascii="Garamond" w:eastAsia="Times New Roman" w:hAnsi="Garamond"/>
          <w:bCs/>
          <w:sz w:val="24"/>
          <w:szCs w:val="24"/>
        </w:rPr>
        <w:t>.</w:t>
      </w:r>
    </w:p>
    <w:p w:rsidR="006555D7" w:rsidRDefault="006555D7" w:rsidP="00DC1D98">
      <w:pPr>
        <w:spacing w:after="0" w:line="240" w:lineRule="auto"/>
        <w:ind w:right="-17"/>
        <w:jc w:val="both"/>
        <w:rPr>
          <w:rFonts w:ascii="Garamond" w:eastAsia="Times New Roman" w:hAnsi="Garamond"/>
          <w:bCs/>
          <w:sz w:val="24"/>
          <w:szCs w:val="24"/>
        </w:rPr>
      </w:pPr>
    </w:p>
    <w:p w:rsidR="007F6AB7" w:rsidRDefault="00670752" w:rsidP="00DC1D98">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Anche in questo ambito si suggerisce la richiesta di requisiti di partecipazione commisurati alla necessità di garantire la massima partecipazione alle procedure di selezione, come indicato dall’ANAC nelle proprie Linee Guida; requisiti da prevedere nell’avviso per indagine di mercato al fine di attuare la prima selezione per l’individuazione dei soggetti da invitare alla successiva gara informale, ai sensi delle normative generale e derogatoria sopra indicate.</w:t>
      </w:r>
      <w:r w:rsidR="00112F16">
        <w:rPr>
          <w:rFonts w:ascii="Garamond" w:eastAsia="Times New Roman" w:hAnsi="Garamond"/>
          <w:bCs/>
          <w:sz w:val="24"/>
          <w:szCs w:val="24"/>
        </w:rPr>
        <w:t xml:space="preserve"> Requisiti comunque modulabili nell’ambito del </w:t>
      </w:r>
      <w:r w:rsidR="00112F16" w:rsidRPr="00112F16">
        <w:rPr>
          <w:rFonts w:ascii="Garamond" w:eastAsia="Times New Roman" w:hAnsi="Garamond"/>
          <w:bCs/>
          <w:i/>
          <w:sz w:val="24"/>
          <w:szCs w:val="24"/>
        </w:rPr>
        <w:t>range</w:t>
      </w:r>
      <w:r w:rsidR="00112F16">
        <w:rPr>
          <w:rFonts w:ascii="Garamond" w:eastAsia="Times New Roman" w:hAnsi="Garamond"/>
          <w:bCs/>
          <w:sz w:val="24"/>
          <w:szCs w:val="24"/>
        </w:rPr>
        <w:t xml:space="preserve"> di importi a base di gara qui alquanto variabile.</w:t>
      </w:r>
    </w:p>
    <w:p w:rsidR="00670752" w:rsidRDefault="00670752" w:rsidP="00DC1D98">
      <w:pPr>
        <w:spacing w:after="0" w:line="240" w:lineRule="auto"/>
        <w:ind w:right="-17"/>
        <w:jc w:val="both"/>
        <w:rPr>
          <w:rFonts w:ascii="Garamond" w:eastAsia="Times New Roman" w:hAnsi="Garamond"/>
          <w:bCs/>
          <w:sz w:val="24"/>
          <w:szCs w:val="24"/>
        </w:rPr>
      </w:pPr>
    </w:p>
    <w:p w:rsidR="00670752" w:rsidRDefault="00670752" w:rsidP="00DC1D98">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Anche in questo caso il criterio del sorteggio viene privilegiato per la selezione dei cinque operatori (almeno) da invitare a presentare offerta. Si è prevista</w:t>
      </w:r>
      <w:r w:rsidR="00112F16">
        <w:rPr>
          <w:rFonts w:ascii="Garamond" w:eastAsia="Times New Roman" w:hAnsi="Garamond"/>
          <w:bCs/>
          <w:sz w:val="24"/>
          <w:szCs w:val="24"/>
        </w:rPr>
        <w:t xml:space="preserve"> direttamente</w:t>
      </w:r>
      <w:r>
        <w:rPr>
          <w:rFonts w:ascii="Garamond" w:eastAsia="Times New Roman" w:hAnsi="Garamond"/>
          <w:bCs/>
          <w:sz w:val="24"/>
          <w:szCs w:val="24"/>
        </w:rPr>
        <w:t>, in assenza d</w:t>
      </w:r>
      <w:r w:rsidR="00112F16">
        <w:rPr>
          <w:rFonts w:ascii="Garamond" w:eastAsia="Times New Roman" w:hAnsi="Garamond"/>
          <w:bCs/>
          <w:sz w:val="24"/>
          <w:szCs w:val="24"/>
        </w:rPr>
        <w:t>ella</w:t>
      </w:r>
      <w:r>
        <w:rPr>
          <w:rFonts w:ascii="Garamond" w:eastAsia="Times New Roman" w:hAnsi="Garamond"/>
          <w:bCs/>
          <w:sz w:val="24"/>
          <w:szCs w:val="24"/>
        </w:rPr>
        <w:t xml:space="preserve"> </w:t>
      </w:r>
      <w:r w:rsidR="00112F16">
        <w:rPr>
          <w:rFonts w:ascii="Garamond" w:eastAsia="Times New Roman" w:hAnsi="Garamond"/>
          <w:bCs/>
          <w:sz w:val="24"/>
          <w:szCs w:val="24"/>
        </w:rPr>
        <w:t xml:space="preserve">possibilità di </w:t>
      </w:r>
      <w:r>
        <w:rPr>
          <w:rFonts w:ascii="Garamond" w:eastAsia="Times New Roman" w:hAnsi="Garamond"/>
          <w:bCs/>
          <w:sz w:val="24"/>
          <w:szCs w:val="24"/>
        </w:rPr>
        <w:t xml:space="preserve">affidamento diretto, la soluzione </w:t>
      </w:r>
      <w:r w:rsidR="00112F16">
        <w:rPr>
          <w:rFonts w:ascii="Garamond" w:eastAsia="Times New Roman" w:hAnsi="Garamond"/>
          <w:bCs/>
          <w:sz w:val="24"/>
          <w:szCs w:val="24"/>
        </w:rPr>
        <w:t>di</w:t>
      </w:r>
      <w:r>
        <w:rPr>
          <w:rFonts w:ascii="Garamond" w:eastAsia="Times New Roman" w:hAnsi="Garamond"/>
          <w:bCs/>
          <w:sz w:val="24"/>
          <w:szCs w:val="24"/>
        </w:rPr>
        <w:t xml:space="preserve"> effettuare il sorteggio in forma anonima.</w:t>
      </w:r>
    </w:p>
    <w:p w:rsidR="00D359B5" w:rsidRDefault="00D359B5" w:rsidP="00DC1D98">
      <w:pPr>
        <w:spacing w:after="0" w:line="240" w:lineRule="auto"/>
        <w:ind w:right="-17"/>
        <w:jc w:val="both"/>
        <w:rPr>
          <w:rFonts w:ascii="Garamond" w:eastAsia="Times New Roman" w:hAnsi="Garamond"/>
          <w:bCs/>
          <w:sz w:val="24"/>
          <w:szCs w:val="24"/>
        </w:rPr>
      </w:pPr>
    </w:p>
    <w:p w:rsidR="00D359B5" w:rsidRPr="00D359B5" w:rsidRDefault="00D359B5" w:rsidP="00D359B5">
      <w:pPr>
        <w:spacing w:after="0"/>
        <w:ind w:right="-17"/>
        <w:jc w:val="both"/>
        <w:rPr>
          <w:rFonts w:ascii="Garamond" w:hAnsi="Garamond"/>
          <w:bCs/>
          <w:sz w:val="24"/>
          <w:szCs w:val="24"/>
        </w:rPr>
      </w:pPr>
      <w:r>
        <w:rPr>
          <w:rFonts w:ascii="Garamond" w:eastAsia="Times New Roman" w:hAnsi="Garamond"/>
          <w:bCs/>
          <w:sz w:val="24"/>
          <w:szCs w:val="24"/>
        </w:rPr>
        <w:t>Ai sensi dell’art.</w:t>
      </w:r>
      <w:bookmarkStart w:id="1" w:name="095"/>
      <w:r w:rsidRPr="00D359B5">
        <w:rPr>
          <w:rFonts w:ascii="Garamond" w:eastAsia="Times New Roman" w:hAnsi="Garamond"/>
          <w:bCs/>
          <w:sz w:val="24"/>
          <w:szCs w:val="24"/>
        </w:rPr>
        <w:t xml:space="preserve"> </w:t>
      </w:r>
      <w:r w:rsidRPr="00D359B5">
        <w:rPr>
          <w:rFonts w:ascii="Garamond" w:hAnsi="Garamond"/>
          <w:bCs/>
          <w:sz w:val="24"/>
          <w:szCs w:val="24"/>
        </w:rPr>
        <w:t>95</w:t>
      </w:r>
      <w:bookmarkEnd w:id="1"/>
      <w:r w:rsidRPr="00D359B5">
        <w:rPr>
          <w:rFonts w:ascii="Garamond" w:hAnsi="Garamond"/>
          <w:bCs/>
          <w:sz w:val="24"/>
          <w:szCs w:val="24"/>
        </w:rPr>
        <w:t xml:space="preserve"> Codice (Criteri di aggiudicazione dell'appalto)</w:t>
      </w:r>
      <w:r>
        <w:rPr>
          <w:rFonts w:ascii="Garamond" w:hAnsi="Garamond"/>
          <w:bCs/>
          <w:sz w:val="24"/>
          <w:szCs w:val="24"/>
        </w:rPr>
        <w:t>:</w:t>
      </w:r>
    </w:p>
    <w:p w:rsidR="00D359B5" w:rsidRPr="00D359B5" w:rsidRDefault="00D359B5" w:rsidP="00D359B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Co </w:t>
      </w:r>
      <w:r w:rsidRPr="00D359B5">
        <w:rPr>
          <w:rFonts w:ascii="Garamond" w:eastAsia="Times New Roman" w:hAnsi="Garamond"/>
          <w:bCs/>
          <w:sz w:val="24"/>
          <w:szCs w:val="24"/>
        </w:rPr>
        <w:t xml:space="preserve">1. I criteri di aggiudicazione non conferiscono alla stazione appaltante un potere di scelta illimitata dell'offerta. Essi garantiscono la possibilità di una concorrenza effettiva e sono accompagnati da specifiche che consentono l'efficace verifica delle informazioni fornite dagli offerenti al fine di valutare il grado di soddisfacimento dei criteri di aggiudicazione delle offerte. Le stazioni appaltanti verificano l'accuratezza delle informazioni e delle prove fornite dagli offerenti. </w:t>
      </w:r>
    </w:p>
    <w:p w:rsidR="00D359B5" w:rsidRPr="00D359B5" w:rsidRDefault="00D359B5" w:rsidP="00D359B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Co. </w:t>
      </w:r>
      <w:r w:rsidRPr="00D359B5">
        <w:rPr>
          <w:rFonts w:ascii="Garamond" w:eastAsia="Times New Roman" w:hAnsi="Garamond"/>
          <w:bCs/>
          <w:sz w:val="24"/>
          <w:szCs w:val="24"/>
        </w:rPr>
        <w:t xml:space="preserve">2. </w:t>
      </w:r>
      <w:r>
        <w:rPr>
          <w:rFonts w:ascii="Garamond" w:eastAsia="Times New Roman" w:hAnsi="Garamond"/>
          <w:bCs/>
          <w:sz w:val="24"/>
          <w:szCs w:val="24"/>
        </w:rPr>
        <w:t>…</w:t>
      </w:r>
    </w:p>
    <w:p w:rsidR="00D359B5" w:rsidRPr="00D359B5" w:rsidRDefault="00D359B5" w:rsidP="00D359B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Co. 3</w:t>
      </w:r>
      <w:r w:rsidRPr="00D359B5">
        <w:rPr>
          <w:rFonts w:ascii="Garamond" w:eastAsia="Times New Roman" w:hAnsi="Garamond"/>
          <w:bCs/>
          <w:sz w:val="24"/>
          <w:szCs w:val="24"/>
        </w:rPr>
        <w:t xml:space="preserve">. </w:t>
      </w:r>
      <w:r w:rsidRPr="00D359B5">
        <w:rPr>
          <w:rFonts w:ascii="Garamond" w:eastAsia="Times New Roman" w:hAnsi="Garamond"/>
          <w:b/>
          <w:bCs/>
          <w:sz w:val="24"/>
          <w:szCs w:val="24"/>
        </w:rPr>
        <w:t>Sono aggiudicati esclusivamente sulla base del criterio dell'offerta economicamente più vantaggiosa individuata sulla base del miglior rapporto qualità/prezzo</w:t>
      </w:r>
      <w:r w:rsidRPr="00D359B5">
        <w:rPr>
          <w:rFonts w:ascii="Garamond" w:eastAsia="Times New Roman" w:hAnsi="Garamond"/>
          <w:bCs/>
          <w:sz w:val="24"/>
          <w:szCs w:val="24"/>
        </w:rPr>
        <w:t>:</w:t>
      </w:r>
    </w:p>
    <w:p w:rsidR="00D359B5" w:rsidRPr="00D359B5" w:rsidRDefault="00D359B5" w:rsidP="00D359B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a) </w:t>
      </w:r>
      <w:r w:rsidRPr="00D359B5">
        <w:rPr>
          <w:rFonts w:ascii="Garamond" w:eastAsia="Times New Roman" w:hAnsi="Garamond"/>
          <w:bCs/>
          <w:sz w:val="24"/>
          <w:szCs w:val="24"/>
        </w:rPr>
        <w:t>…;</w:t>
      </w:r>
    </w:p>
    <w:p w:rsidR="00D359B5" w:rsidRDefault="00D359B5" w:rsidP="00D359B5">
      <w:pPr>
        <w:spacing w:after="0" w:line="240" w:lineRule="auto"/>
        <w:ind w:right="-17"/>
        <w:jc w:val="both"/>
        <w:rPr>
          <w:rFonts w:ascii="Garamond" w:eastAsia="Times New Roman" w:hAnsi="Garamond"/>
          <w:bCs/>
          <w:sz w:val="24"/>
          <w:szCs w:val="24"/>
        </w:rPr>
      </w:pPr>
      <w:r w:rsidRPr="00D359B5">
        <w:rPr>
          <w:rFonts w:ascii="Garamond" w:eastAsia="Times New Roman" w:hAnsi="Garamond"/>
          <w:bCs/>
          <w:sz w:val="24"/>
          <w:szCs w:val="24"/>
        </w:rPr>
        <w:t xml:space="preserve">b) </w:t>
      </w:r>
      <w:r w:rsidRPr="00D359B5">
        <w:rPr>
          <w:rFonts w:ascii="Garamond" w:eastAsia="Times New Roman" w:hAnsi="Garamond"/>
          <w:b/>
          <w:bCs/>
          <w:sz w:val="24"/>
          <w:szCs w:val="24"/>
        </w:rPr>
        <w:t>i contratti relativi all'affidamento dei servizi di ingegneria e architettura e degli altri servizi di natura tecnica e intellettuale di importo pari o superiore a 40.000 euro</w:t>
      </w:r>
      <w:r>
        <w:rPr>
          <w:rFonts w:ascii="Garamond" w:eastAsia="Times New Roman" w:hAnsi="Garamond"/>
          <w:bCs/>
          <w:sz w:val="24"/>
          <w:szCs w:val="24"/>
        </w:rPr>
        <w:t>.</w:t>
      </w:r>
    </w:p>
    <w:p w:rsidR="00D359B5" w:rsidRDefault="00D359B5" w:rsidP="00D359B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Occorre quindi prevedere in ogni c</w:t>
      </w:r>
      <w:r w:rsidR="00601410">
        <w:rPr>
          <w:rFonts w:ascii="Garamond" w:eastAsia="Times New Roman" w:hAnsi="Garamond"/>
          <w:bCs/>
          <w:sz w:val="24"/>
          <w:szCs w:val="24"/>
        </w:rPr>
        <w:t>aso, sopra la detta soglia, gli elementi di valutazione e i criteri motivazionali, nonché il sistema di valutazione e attribuzione dei punteggi all’offerta tecnica.</w:t>
      </w:r>
    </w:p>
    <w:p w:rsidR="00601410" w:rsidRDefault="00601410" w:rsidP="00D359B5">
      <w:pPr>
        <w:spacing w:after="0" w:line="240" w:lineRule="auto"/>
        <w:ind w:right="-17"/>
        <w:jc w:val="both"/>
        <w:rPr>
          <w:rFonts w:ascii="Garamond" w:eastAsia="Times New Roman" w:hAnsi="Garamond"/>
          <w:bCs/>
          <w:sz w:val="24"/>
          <w:szCs w:val="24"/>
        </w:rPr>
      </w:pPr>
    </w:p>
    <w:p w:rsidR="00601410" w:rsidRDefault="00601410" w:rsidP="00D359B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Come specificato dall’ANAC, il riferimento al “</w:t>
      </w:r>
      <w:r w:rsidRPr="00601410">
        <w:rPr>
          <w:rFonts w:ascii="Garamond" w:eastAsia="Times New Roman" w:hAnsi="Garamond"/>
          <w:bCs/>
          <w:i/>
          <w:sz w:val="24"/>
          <w:szCs w:val="24"/>
        </w:rPr>
        <w:t>miglior rapporto qualità/prezzo</w:t>
      </w:r>
      <w:r>
        <w:rPr>
          <w:rFonts w:ascii="Garamond" w:eastAsia="Times New Roman" w:hAnsi="Garamond"/>
          <w:bCs/>
          <w:sz w:val="24"/>
          <w:szCs w:val="24"/>
        </w:rPr>
        <w:t xml:space="preserve">” impedisce di vincolare le SA alla fissazione di un corrispettivo fisso, eliminando </w:t>
      </w:r>
      <w:r w:rsidR="008041A4">
        <w:rPr>
          <w:rFonts w:ascii="Garamond" w:eastAsia="Times New Roman" w:hAnsi="Garamond"/>
          <w:bCs/>
          <w:sz w:val="24"/>
          <w:szCs w:val="24"/>
        </w:rPr>
        <w:t xml:space="preserve">del tutto </w:t>
      </w:r>
      <w:r>
        <w:rPr>
          <w:rFonts w:ascii="Garamond" w:eastAsia="Times New Roman" w:hAnsi="Garamond"/>
          <w:bCs/>
          <w:sz w:val="24"/>
          <w:szCs w:val="24"/>
        </w:rPr>
        <w:t xml:space="preserve">il prezzo come parametro di giudizio, nonostante la chiara preferenza, in questo settore, per </w:t>
      </w:r>
      <w:r w:rsidR="008041A4">
        <w:rPr>
          <w:rFonts w:ascii="Garamond" w:eastAsia="Times New Roman" w:hAnsi="Garamond"/>
          <w:bCs/>
          <w:sz w:val="24"/>
          <w:szCs w:val="24"/>
        </w:rPr>
        <w:t xml:space="preserve">i </w:t>
      </w:r>
      <w:r>
        <w:rPr>
          <w:rFonts w:ascii="Garamond" w:eastAsia="Times New Roman" w:hAnsi="Garamond"/>
          <w:bCs/>
          <w:sz w:val="24"/>
          <w:szCs w:val="24"/>
        </w:rPr>
        <w:t>criteri qualitativi di valutazione.</w:t>
      </w:r>
    </w:p>
    <w:p w:rsidR="00601410" w:rsidRDefault="00601410" w:rsidP="00D359B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D’altra parte l’ANAC ha </w:t>
      </w:r>
      <w:r w:rsidR="008041A4">
        <w:rPr>
          <w:rFonts w:ascii="Garamond" w:eastAsia="Times New Roman" w:hAnsi="Garamond"/>
          <w:bCs/>
          <w:sz w:val="24"/>
          <w:szCs w:val="24"/>
        </w:rPr>
        <w:t>pure</w:t>
      </w:r>
      <w:r>
        <w:rPr>
          <w:rFonts w:ascii="Garamond" w:eastAsia="Times New Roman" w:hAnsi="Garamond"/>
          <w:bCs/>
          <w:sz w:val="24"/>
          <w:szCs w:val="24"/>
        </w:rPr>
        <w:t xml:space="preserve"> chiarito che non appare possibile vincolare le SA, in sede di affermazione di c.d. best practices, alla fissazione di una percentuale massima di ribasso (si veda per entrambi gli aspetti la </w:t>
      </w:r>
      <w:r w:rsidRPr="00112F16">
        <w:rPr>
          <w:rFonts w:ascii="Garamond" w:eastAsia="Times New Roman" w:hAnsi="Garamond"/>
          <w:b/>
          <w:bCs/>
          <w:sz w:val="24"/>
          <w:szCs w:val="24"/>
        </w:rPr>
        <w:t>Relazione AIR alle Linee Guida n. 1</w:t>
      </w:r>
      <w:r>
        <w:rPr>
          <w:rFonts w:ascii="Garamond" w:eastAsia="Times New Roman" w:hAnsi="Garamond"/>
          <w:bCs/>
          <w:sz w:val="24"/>
          <w:szCs w:val="24"/>
        </w:rPr>
        <w:t xml:space="preserve"> già citata punti 5.7.3 e 5.7.4)</w:t>
      </w:r>
      <w:r w:rsidR="008041A4">
        <w:rPr>
          <w:rFonts w:ascii="Garamond" w:eastAsia="Times New Roman" w:hAnsi="Garamond"/>
          <w:bCs/>
          <w:sz w:val="24"/>
          <w:szCs w:val="24"/>
        </w:rPr>
        <w:t>.</w:t>
      </w:r>
    </w:p>
    <w:p w:rsidR="006735B8" w:rsidRDefault="006735B8" w:rsidP="00D359B5">
      <w:pPr>
        <w:spacing w:after="0" w:line="240" w:lineRule="auto"/>
        <w:ind w:right="-17"/>
        <w:jc w:val="both"/>
        <w:rPr>
          <w:rFonts w:ascii="Garamond" w:eastAsia="Times New Roman" w:hAnsi="Garamond"/>
          <w:bCs/>
          <w:sz w:val="24"/>
          <w:szCs w:val="24"/>
        </w:rPr>
      </w:pPr>
    </w:p>
    <w:p w:rsidR="00601410" w:rsidRDefault="00601410" w:rsidP="00D359B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A</w:t>
      </w:r>
      <w:r w:rsidRPr="00601410">
        <w:rPr>
          <w:rFonts w:ascii="Garamond" w:eastAsia="Times New Roman" w:hAnsi="Garamond"/>
          <w:bCs/>
          <w:sz w:val="24"/>
          <w:szCs w:val="24"/>
        </w:rPr>
        <w:t xml:space="preserve"> presidio della qualità </w:t>
      </w:r>
      <w:r w:rsidR="008041A4">
        <w:rPr>
          <w:rFonts w:ascii="Garamond" w:eastAsia="Times New Roman" w:hAnsi="Garamond"/>
          <w:bCs/>
          <w:sz w:val="24"/>
          <w:szCs w:val="24"/>
        </w:rPr>
        <w:t xml:space="preserve">(sempre nella Relazione) l’ANAC afferma che </w:t>
      </w:r>
      <w:r w:rsidRPr="00601410">
        <w:rPr>
          <w:rFonts w:ascii="Garamond" w:eastAsia="Times New Roman" w:hAnsi="Garamond"/>
          <w:bCs/>
          <w:sz w:val="24"/>
          <w:szCs w:val="24"/>
        </w:rPr>
        <w:t>possano essere utilizzati altri strumenti, quali la riparametrazione, l’uso della forcella nel punteggio tecnico, l’utilizzo di formule calmieranti per la valutazione della componente quantitativa dell’offerta</w:t>
      </w:r>
      <w:r w:rsidR="008041A4">
        <w:rPr>
          <w:rFonts w:ascii="Garamond" w:eastAsia="Times New Roman" w:hAnsi="Garamond"/>
          <w:bCs/>
          <w:sz w:val="24"/>
          <w:szCs w:val="24"/>
        </w:rPr>
        <w:t>.</w:t>
      </w:r>
      <w:r w:rsidR="006735B8">
        <w:rPr>
          <w:rFonts w:ascii="Garamond" w:eastAsia="Times New Roman" w:hAnsi="Garamond"/>
          <w:bCs/>
          <w:sz w:val="24"/>
          <w:szCs w:val="24"/>
        </w:rPr>
        <w:t xml:space="preserve"> Conseguentemente, nelle Linee Guida n. 1, l’ANAC ha individuato (Parte VI) le i</w:t>
      </w:r>
      <w:r w:rsidR="006735B8" w:rsidRPr="006735B8">
        <w:rPr>
          <w:rFonts w:ascii="Garamond" w:eastAsia="Times New Roman" w:hAnsi="Garamond"/>
          <w:bCs/>
          <w:sz w:val="24"/>
          <w:szCs w:val="24"/>
        </w:rPr>
        <w:t>ndicazioni sull’applicazione dell’offerta economicamente più vantaggiosa</w:t>
      </w:r>
      <w:r w:rsidR="009B74CC">
        <w:rPr>
          <w:rFonts w:ascii="Garamond" w:eastAsia="Times New Roman" w:hAnsi="Garamond"/>
          <w:bCs/>
          <w:sz w:val="24"/>
          <w:szCs w:val="24"/>
        </w:rPr>
        <w:t xml:space="preserve"> allo specifico settore</w:t>
      </w:r>
      <w:r w:rsidR="006735B8">
        <w:rPr>
          <w:rFonts w:ascii="Garamond" w:eastAsia="Times New Roman" w:hAnsi="Garamond"/>
          <w:bCs/>
          <w:sz w:val="24"/>
          <w:szCs w:val="24"/>
        </w:rPr>
        <w:t>,</w:t>
      </w:r>
      <w:r w:rsidR="006735B8" w:rsidRPr="006735B8">
        <w:rPr>
          <w:rFonts w:ascii="Garamond" w:eastAsia="Times New Roman" w:hAnsi="Garamond"/>
          <w:bCs/>
          <w:sz w:val="24"/>
          <w:szCs w:val="24"/>
        </w:rPr>
        <w:t xml:space="preserve"> secondo il miglior rapporto qualità/prezzo</w:t>
      </w:r>
      <w:r w:rsidR="006735B8">
        <w:rPr>
          <w:rFonts w:ascii="Garamond" w:eastAsia="Times New Roman" w:hAnsi="Garamond"/>
          <w:bCs/>
          <w:sz w:val="24"/>
          <w:szCs w:val="24"/>
        </w:rPr>
        <w:t>. Rinviando al contenuto analitico delle stesse, qui preme evidenziare:</w:t>
      </w:r>
    </w:p>
    <w:p w:rsidR="006735B8" w:rsidRDefault="006735B8" w:rsidP="00D359B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1. in generale, la coerente promozione da parte di ANAC dei criteri qualitativi di valutazione e, conseguente, la sottovalutazione dell’elemento prezzo e dell’elemento tempo, anche attraverso </w:t>
      </w:r>
      <w:r w:rsidR="009B74CC">
        <w:rPr>
          <w:rFonts w:ascii="Garamond" w:eastAsia="Times New Roman" w:hAnsi="Garamond"/>
          <w:bCs/>
          <w:sz w:val="24"/>
          <w:szCs w:val="24"/>
        </w:rPr>
        <w:t>l’indicazione dell</w:t>
      </w:r>
      <w:r>
        <w:rPr>
          <w:rFonts w:ascii="Garamond" w:eastAsia="Times New Roman" w:hAnsi="Garamond"/>
          <w:bCs/>
          <w:sz w:val="24"/>
          <w:szCs w:val="24"/>
        </w:rPr>
        <w:t>’uso di formule di attribuzione del punteggio che riducano l’incidenza di detti elementi;</w:t>
      </w:r>
    </w:p>
    <w:p w:rsidR="006735B8" w:rsidRDefault="006735B8" w:rsidP="00D359B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2. il riferimento delle indicazioni applicative agli affidamenti sopra soglia europea, ma la loro utilizzabilità anche per gli affidamenti sotto soglia, con la necessità però di adeguare le indicazioni </w:t>
      </w:r>
      <w:r w:rsidR="00FB1FE8">
        <w:rPr>
          <w:rFonts w:ascii="Garamond" w:eastAsia="Times New Roman" w:hAnsi="Garamond"/>
          <w:bCs/>
          <w:sz w:val="24"/>
          <w:szCs w:val="24"/>
        </w:rPr>
        <w:t>all’importanza dell’affidamento.</w:t>
      </w:r>
    </w:p>
    <w:p w:rsidR="00FB1FE8" w:rsidRDefault="00FB1FE8" w:rsidP="00D359B5">
      <w:pPr>
        <w:spacing w:after="0" w:line="240" w:lineRule="auto"/>
        <w:ind w:right="-17"/>
        <w:jc w:val="both"/>
        <w:rPr>
          <w:rFonts w:ascii="Garamond" w:eastAsia="Times New Roman" w:hAnsi="Garamond"/>
          <w:bCs/>
          <w:sz w:val="24"/>
          <w:szCs w:val="24"/>
        </w:rPr>
      </w:pPr>
    </w:p>
    <w:p w:rsidR="00A90610" w:rsidRDefault="00FB1FE8" w:rsidP="00D359B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Si è posta inoltre </w:t>
      </w:r>
      <w:r w:rsidR="006735B8" w:rsidRPr="00112F16">
        <w:rPr>
          <w:rFonts w:ascii="Garamond" w:eastAsia="Times New Roman" w:hAnsi="Garamond"/>
          <w:b/>
          <w:bCs/>
          <w:sz w:val="24"/>
          <w:szCs w:val="24"/>
        </w:rPr>
        <w:t xml:space="preserve">la necessità in questa sede </w:t>
      </w:r>
      <w:r w:rsidR="00630C8D">
        <w:rPr>
          <w:rFonts w:ascii="Garamond" w:eastAsia="Times New Roman" w:hAnsi="Garamond"/>
          <w:b/>
          <w:bCs/>
          <w:sz w:val="24"/>
          <w:szCs w:val="24"/>
        </w:rPr>
        <w:t xml:space="preserve">(e per il disciplinare sopra-soglia) </w:t>
      </w:r>
      <w:r w:rsidR="006735B8" w:rsidRPr="00112F16">
        <w:rPr>
          <w:rFonts w:ascii="Garamond" w:eastAsia="Times New Roman" w:hAnsi="Garamond"/>
          <w:b/>
          <w:bCs/>
          <w:sz w:val="24"/>
          <w:szCs w:val="24"/>
        </w:rPr>
        <w:t xml:space="preserve">di operare una scelta </w:t>
      </w:r>
      <w:r>
        <w:rPr>
          <w:rFonts w:ascii="Garamond" w:eastAsia="Times New Roman" w:hAnsi="Garamond"/>
          <w:b/>
          <w:bCs/>
          <w:sz w:val="24"/>
          <w:szCs w:val="24"/>
        </w:rPr>
        <w:t>nell’elaborazione de</w:t>
      </w:r>
      <w:r w:rsidR="006735B8" w:rsidRPr="00112F16">
        <w:rPr>
          <w:rFonts w:ascii="Garamond" w:eastAsia="Times New Roman" w:hAnsi="Garamond"/>
          <w:b/>
          <w:bCs/>
          <w:sz w:val="24"/>
          <w:szCs w:val="24"/>
        </w:rPr>
        <w:t xml:space="preserve">gli schemi </w:t>
      </w:r>
      <w:r w:rsidR="00112F16" w:rsidRPr="00112F16">
        <w:rPr>
          <w:rFonts w:ascii="Garamond" w:eastAsia="Times New Roman" w:hAnsi="Garamond"/>
          <w:b/>
          <w:bCs/>
          <w:sz w:val="24"/>
          <w:szCs w:val="24"/>
        </w:rPr>
        <w:t>di disciplinare</w:t>
      </w:r>
      <w:r w:rsidR="006735B8" w:rsidRPr="00112F16">
        <w:rPr>
          <w:rFonts w:ascii="Garamond" w:eastAsia="Times New Roman" w:hAnsi="Garamond"/>
          <w:b/>
          <w:bCs/>
          <w:sz w:val="24"/>
          <w:szCs w:val="24"/>
        </w:rPr>
        <w:t xml:space="preserve"> </w:t>
      </w:r>
      <w:r>
        <w:rPr>
          <w:rFonts w:ascii="Garamond" w:eastAsia="Times New Roman" w:hAnsi="Garamond"/>
          <w:b/>
          <w:bCs/>
          <w:sz w:val="24"/>
          <w:szCs w:val="24"/>
        </w:rPr>
        <w:t xml:space="preserve">e, cioè, </w:t>
      </w:r>
      <w:r w:rsidR="00630C8D">
        <w:rPr>
          <w:rFonts w:ascii="Garamond" w:eastAsia="Times New Roman" w:hAnsi="Garamond"/>
          <w:b/>
          <w:bCs/>
          <w:sz w:val="24"/>
          <w:szCs w:val="24"/>
        </w:rPr>
        <w:t xml:space="preserve">quella </w:t>
      </w:r>
      <w:r>
        <w:rPr>
          <w:rFonts w:ascii="Garamond" w:eastAsia="Times New Roman" w:hAnsi="Garamond"/>
          <w:b/>
          <w:bCs/>
          <w:sz w:val="24"/>
          <w:szCs w:val="24"/>
        </w:rPr>
        <w:t xml:space="preserve">di ipotizzare </w:t>
      </w:r>
      <w:r w:rsidR="006735B8" w:rsidRPr="00112F16">
        <w:rPr>
          <w:rFonts w:ascii="Garamond" w:eastAsia="Times New Roman" w:hAnsi="Garamond"/>
          <w:b/>
          <w:bCs/>
          <w:sz w:val="24"/>
          <w:szCs w:val="24"/>
        </w:rPr>
        <w:t xml:space="preserve">un </w:t>
      </w:r>
      <w:r>
        <w:rPr>
          <w:rFonts w:ascii="Garamond" w:eastAsia="Times New Roman" w:hAnsi="Garamond"/>
          <w:b/>
          <w:bCs/>
          <w:sz w:val="24"/>
          <w:szCs w:val="24"/>
        </w:rPr>
        <w:t xml:space="preserve">concreto </w:t>
      </w:r>
      <w:r w:rsidR="006735B8" w:rsidRPr="00112F16">
        <w:rPr>
          <w:rFonts w:ascii="Garamond" w:eastAsia="Times New Roman" w:hAnsi="Garamond"/>
          <w:b/>
          <w:bCs/>
          <w:sz w:val="24"/>
          <w:szCs w:val="24"/>
        </w:rPr>
        <w:t>affidamento</w:t>
      </w:r>
      <w:r>
        <w:rPr>
          <w:rFonts w:ascii="Garamond" w:eastAsia="Times New Roman" w:hAnsi="Garamond"/>
          <w:b/>
          <w:bCs/>
          <w:sz w:val="24"/>
          <w:szCs w:val="24"/>
        </w:rPr>
        <w:t xml:space="preserve"> </w:t>
      </w:r>
      <w:r w:rsidRPr="00630C8D">
        <w:rPr>
          <w:rFonts w:ascii="Garamond" w:eastAsia="Times New Roman" w:hAnsi="Garamond"/>
          <w:b/>
          <w:bCs/>
          <w:sz w:val="24"/>
          <w:szCs w:val="24"/>
        </w:rPr>
        <w:t>(stante l’impossibilità di prevedere criteri di valutazione dell’OEPV validi per ogni prestazione tecnica)</w:t>
      </w:r>
      <w:r>
        <w:rPr>
          <w:rFonts w:ascii="Garamond" w:eastAsia="Times New Roman" w:hAnsi="Garamond"/>
          <w:b/>
          <w:bCs/>
          <w:sz w:val="24"/>
          <w:szCs w:val="24"/>
        </w:rPr>
        <w:t>.</w:t>
      </w:r>
      <w:r w:rsidR="006735B8" w:rsidRPr="00112F16">
        <w:rPr>
          <w:rFonts w:ascii="Garamond" w:eastAsia="Times New Roman" w:hAnsi="Garamond"/>
          <w:b/>
          <w:bCs/>
          <w:sz w:val="24"/>
          <w:szCs w:val="24"/>
        </w:rPr>
        <w:t xml:space="preserve"> </w:t>
      </w:r>
      <w:r>
        <w:rPr>
          <w:rFonts w:ascii="Garamond" w:eastAsia="Times New Roman" w:hAnsi="Garamond"/>
          <w:b/>
          <w:bCs/>
          <w:sz w:val="24"/>
          <w:szCs w:val="24"/>
        </w:rPr>
        <w:t>S</w:t>
      </w:r>
      <w:r w:rsidR="006735B8" w:rsidRPr="00112F16">
        <w:rPr>
          <w:rFonts w:ascii="Garamond" w:eastAsia="Times New Roman" w:hAnsi="Garamond"/>
          <w:b/>
          <w:bCs/>
          <w:sz w:val="24"/>
          <w:szCs w:val="24"/>
        </w:rPr>
        <w:t>i è ritenut</w:t>
      </w:r>
      <w:r w:rsidR="00150659">
        <w:rPr>
          <w:rFonts w:ascii="Garamond" w:eastAsia="Times New Roman" w:hAnsi="Garamond"/>
          <w:b/>
          <w:bCs/>
          <w:sz w:val="24"/>
          <w:szCs w:val="24"/>
        </w:rPr>
        <w:t>a</w:t>
      </w:r>
      <w:r w:rsidR="006735B8" w:rsidRPr="00112F16">
        <w:rPr>
          <w:rFonts w:ascii="Garamond" w:eastAsia="Times New Roman" w:hAnsi="Garamond"/>
          <w:b/>
          <w:bCs/>
          <w:sz w:val="24"/>
          <w:szCs w:val="24"/>
        </w:rPr>
        <w:t xml:space="preserve"> </w:t>
      </w:r>
      <w:r w:rsidR="009B74CC" w:rsidRPr="00112F16">
        <w:rPr>
          <w:rFonts w:ascii="Garamond" w:eastAsia="Times New Roman" w:hAnsi="Garamond"/>
          <w:b/>
          <w:bCs/>
          <w:sz w:val="24"/>
          <w:szCs w:val="24"/>
        </w:rPr>
        <w:t>migliore soluzione ipotizzare l’affidamento congiunto di un progetto definitivo ed esecutivo</w:t>
      </w:r>
      <w:r w:rsidR="00150659">
        <w:rPr>
          <w:rFonts w:ascii="Garamond" w:eastAsia="Times New Roman" w:hAnsi="Garamond"/>
          <w:b/>
          <w:bCs/>
          <w:sz w:val="24"/>
          <w:szCs w:val="24"/>
        </w:rPr>
        <w:t>,</w:t>
      </w:r>
      <w:r w:rsidR="009B74CC" w:rsidRPr="00112F16">
        <w:rPr>
          <w:rFonts w:ascii="Garamond" w:eastAsia="Times New Roman" w:hAnsi="Garamond"/>
          <w:b/>
          <w:bCs/>
          <w:sz w:val="24"/>
          <w:szCs w:val="24"/>
        </w:rPr>
        <w:t xml:space="preserve"> relativo ad un non definito lavoro/opera pubblica.</w:t>
      </w:r>
    </w:p>
    <w:p w:rsidR="009B74CC" w:rsidRDefault="00150659" w:rsidP="00D359B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Oltre a ritenere che si tratti dell’ipotesi che si manifesterà </w:t>
      </w:r>
      <w:r w:rsidR="00630C8D">
        <w:rPr>
          <w:rFonts w:ascii="Garamond" w:eastAsia="Times New Roman" w:hAnsi="Garamond"/>
          <w:bCs/>
          <w:sz w:val="24"/>
          <w:szCs w:val="24"/>
        </w:rPr>
        <w:t xml:space="preserve">con più frequenza nella pratica, </w:t>
      </w:r>
      <w:r w:rsidR="009B74CC">
        <w:rPr>
          <w:rFonts w:ascii="Garamond" w:eastAsia="Times New Roman" w:hAnsi="Garamond"/>
          <w:bCs/>
          <w:sz w:val="24"/>
          <w:szCs w:val="24"/>
        </w:rPr>
        <w:t>si ric</w:t>
      </w:r>
      <w:r w:rsidR="00A90610">
        <w:rPr>
          <w:rFonts w:ascii="Garamond" w:eastAsia="Times New Roman" w:hAnsi="Garamond"/>
          <w:bCs/>
          <w:sz w:val="24"/>
          <w:szCs w:val="24"/>
        </w:rPr>
        <w:t>hiama</w:t>
      </w:r>
      <w:r w:rsidR="009B74CC">
        <w:rPr>
          <w:rFonts w:ascii="Garamond" w:eastAsia="Times New Roman" w:hAnsi="Garamond"/>
          <w:bCs/>
          <w:sz w:val="24"/>
          <w:szCs w:val="24"/>
        </w:rPr>
        <w:t xml:space="preserve"> </w:t>
      </w:r>
      <w:r w:rsidR="00A90610">
        <w:rPr>
          <w:rFonts w:ascii="Garamond" w:eastAsia="Times New Roman" w:hAnsi="Garamond"/>
          <w:bCs/>
          <w:sz w:val="24"/>
          <w:szCs w:val="24"/>
        </w:rPr>
        <w:t>qui</w:t>
      </w:r>
      <w:r w:rsidR="009B74CC">
        <w:rPr>
          <w:rFonts w:ascii="Garamond" w:eastAsia="Times New Roman" w:hAnsi="Garamond"/>
          <w:bCs/>
          <w:sz w:val="24"/>
          <w:szCs w:val="24"/>
        </w:rPr>
        <w:t xml:space="preserve"> il principio</w:t>
      </w:r>
      <w:r w:rsidR="00630C8D">
        <w:rPr>
          <w:rFonts w:ascii="Garamond" w:eastAsia="Times New Roman" w:hAnsi="Garamond"/>
          <w:bCs/>
          <w:sz w:val="24"/>
          <w:szCs w:val="24"/>
        </w:rPr>
        <w:t>,</w:t>
      </w:r>
      <w:r w:rsidR="009B74CC">
        <w:rPr>
          <w:rFonts w:ascii="Garamond" w:eastAsia="Times New Roman" w:hAnsi="Garamond"/>
          <w:bCs/>
          <w:sz w:val="24"/>
          <w:szCs w:val="24"/>
        </w:rPr>
        <w:t xml:space="preserve"> già sopra evidenziato e accolto dal nuovo Codice</w:t>
      </w:r>
      <w:r w:rsidR="00630C8D">
        <w:rPr>
          <w:rFonts w:ascii="Garamond" w:eastAsia="Times New Roman" w:hAnsi="Garamond"/>
          <w:bCs/>
          <w:sz w:val="24"/>
          <w:szCs w:val="24"/>
        </w:rPr>
        <w:t>,</w:t>
      </w:r>
      <w:r w:rsidR="009B74CC">
        <w:rPr>
          <w:rFonts w:ascii="Garamond" w:eastAsia="Times New Roman" w:hAnsi="Garamond"/>
          <w:bCs/>
          <w:sz w:val="24"/>
          <w:szCs w:val="24"/>
        </w:rPr>
        <w:t xml:space="preserve"> della preferenza per la continuità </w:t>
      </w:r>
      <w:r w:rsidR="00A90610">
        <w:rPr>
          <w:rFonts w:ascii="Garamond" w:eastAsia="Times New Roman" w:hAnsi="Garamond"/>
          <w:bCs/>
          <w:sz w:val="24"/>
          <w:szCs w:val="24"/>
        </w:rPr>
        <w:t>nello svolgimento delle attività di</w:t>
      </w:r>
      <w:r w:rsidR="009B74CC">
        <w:rPr>
          <w:rFonts w:ascii="Garamond" w:eastAsia="Times New Roman" w:hAnsi="Garamond"/>
          <w:bCs/>
          <w:sz w:val="24"/>
          <w:szCs w:val="24"/>
        </w:rPr>
        <w:t xml:space="preserve"> progettazione, che implica </w:t>
      </w:r>
      <w:r w:rsidR="00A90610">
        <w:rPr>
          <w:rFonts w:ascii="Garamond" w:eastAsia="Times New Roman" w:hAnsi="Garamond"/>
          <w:bCs/>
          <w:sz w:val="24"/>
          <w:szCs w:val="24"/>
        </w:rPr>
        <w:t xml:space="preserve">tendenzialmente </w:t>
      </w:r>
      <w:r w:rsidR="009B74CC">
        <w:rPr>
          <w:rFonts w:ascii="Garamond" w:eastAsia="Times New Roman" w:hAnsi="Garamond"/>
          <w:bCs/>
          <w:sz w:val="24"/>
          <w:szCs w:val="24"/>
        </w:rPr>
        <w:t xml:space="preserve">l’affidamento al medesimo soggetto di entrambe le prestazioni </w:t>
      </w:r>
      <w:r w:rsidR="00630C8D">
        <w:rPr>
          <w:rFonts w:ascii="Garamond" w:eastAsia="Times New Roman" w:hAnsi="Garamond"/>
          <w:bCs/>
          <w:sz w:val="24"/>
          <w:szCs w:val="24"/>
        </w:rPr>
        <w:t xml:space="preserve">(si ricorda peraltro anche </w:t>
      </w:r>
      <w:r w:rsidR="009B74CC">
        <w:rPr>
          <w:rFonts w:ascii="Garamond" w:eastAsia="Times New Roman" w:hAnsi="Garamond"/>
          <w:bCs/>
          <w:sz w:val="24"/>
          <w:szCs w:val="24"/>
        </w:rPr>
        <w:t>la possibilità di accesso alla selezione dell’eventuale soggetto esterno redattore dello studio di fattibilità</w:t>
      </w:r>
      <w:r w:rsidR="00A90610">
        <w:rPr>
          <w:rFonts w:ascii="Garamond" w:eastAsia="Times New Roman" w:hAnsi="Garamond"/>
          <w:bCs/>
          <w:sz w:val="24"/>
          <w:szCs w:val="24"/>
        </w:rPr>
        <w:t xml:space="preserve"> tecnica ed economica</w:t>
      </w:r>
      <w:r w:rsidR="00630C8D">
        <w:rPr>
          <w:rFonts w:ascii="Garamond" w:eastAsia="Times New Roman" w:hAnsi="Garamond"/>
          <w:bCs/>
          <w:sz w:val="24"/>
          <w:szCs w:val="24"/>
        </w:rPr>
        <w:t>)</w:t>
      </w:r>
      <w:r w:rsidR="00A90610">
        <w:rPr>
          <w:rFonts w:ascii="Garamond" w:eastAsia="Times New Roman" w:hAnsi="Garamond"/>
          <w:bCs/>
          <w:sz w:val="24"/>
          <w:szCs w:val="24"/>
        </w:rPr>
        <w:t>.</w:t>
      </w:r>
    </w:p>
    <w:p w:rsidR="008E53E6" w:rsidRDefault="008E53E6" w:rsidP="00D359B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Negli schemi si sono proposti una serie di </w:t>
      </w:r>
      <w:r w:rsidRPr="00630C8D">
        <w:rPr>
          <w:rFonts w:ascii="Garamond" w:eastAsia="Times New Roman" w:hAnsi="Garamond"/>
          <w:b/>
          <w:bCs/>
          <w:sz w:val="24"/>
          <w:szCs w:val="24"/>
        </w:rPr>
        <w:t>criteri e sub-criteri</w:t>
      </w:r>
      <w:r>
        <w:rPr>
          <w:rFonts w:ascii="Garamond" w:eastAsia="Times New Roman" w:hAnsi="Garamond"/>
          <w:bCs/>
          <w:sz w:val="24"/>
          <w:szCs w:val="24"/>
        </w:rPr>
        <w:t xml:space="preserve"> di valutazione delle offerte tecniche, nonché di correlati </w:t>
      </w:r>
      <w:r w:rsidRPr="00630C8D">
        <w:rPr>
          <w:rFonts w:ascii="Garamond" w:eastAsia="Times New Roman" w:hAnsi="Garamond"/>
          <w:b/>
          <w:bCs/>
          <w:sz w:val="24"/>
          <w:szCs w:val="24"/>
        </w:rPr>
        <w:t>criteri motivazionali</w:t>
      </w:r>
      <w:r>
        <w:rPr>
          <w:rFonts w:ascii="Garamond" w:eastAsia="Times New Roman" w:hAnsi="Garamond"/>
          <w:bCs/>
          <w:sz w:val="24"/>
          <w:szCs w:val="24"/>
        </w:rPr>
        <w:t xml:space="preserve"> che, oltre a derivare dalle proposte dell’ANAC contenute nelle Linee Guida n. 1/16, si incentrano </w:t>
      </w:r>
      <w:r w:rsidR="00630C8D">
        <w:rPr>
          <w:rFonts w:ascii="Garamond" w:eastAsia="Times New Roman" w:hAnsi="Garamond"/>
          <w:bCs/>
          <w:sz w:val="24"/>
          <w:szCs w:val="24"/>
        </w:rPr>
        <w:t>dunque</w:t>
      </w:r>
      <w:r>
        <w:rPr>
          <w:rFonts w:ascii="Garamond" w:eastAsia="Times New Roman" w:hAnsi="Garamond"/>
          <w:bCs/>
          <w:sz w:val="24"/>
          <w:szCs w:val="24"/>
        </w:rPr>
        <w:t xml:space="preserve"> su un affidamento di progettazione.</w:t>
      </w:r>
    </w:p>
    <w:p w:rsidR="00112F16" w:rsidRDefault="008E53E6" w:rsidP="00D359B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Correlativamente si è proposto anche un </w:t>
      </w:r>
      <w:r w:rsidRPr="00FB1FE8">
        <w:rPr>
          <w:rFonts w:ascii="Garamond" w:eastAsia="Times New Roman" w:hAnsi="Garamond"/>
          <w:b/>
          <w:bCs/>
          <w:sz w:val="24"/>
          <w:szCs w:val="24"/>
        </w:rPr>
        <w:t>metodo di calcolo dei punteggi</w:t>
      </w:r>
      <w:r>
        <w:rPr>
          <w:rFonts w:ascii="Garamond" w:eastAsia="Times New Roman" w:hAnsi="Garamond"/>
          <w:bCs/>
          <w:sz w:val="24"/>
          <w:szCs w:val="24"/>
        </w:rPr>
        <w:t xml:space="preserve"> per l’offerta tecnica e complessivi, tenuto conto anche qui delle indicazioni dell’ANAC, essendosi prev</w:t>
      </w:r>
      <w:r w:rsidR="00FB1FE8">
        <w:rPr>
          <w:rFonts w:ascii="Garamond" w:eastAsia="Times New Roman" w:hAnsi="Garamond"/>
          <w:bCs/>
          <w:sz w:val="24"/>
          <w:szCs w:val="24"/>
        </w:rPr>
        <w:t>i</w:t>
      </w:r>
      <w:r>
        <w:rPr>
          <w:rFonts w:ascii="Garamond" w:eastAsia="Times New Roman" w:hAnsi="Garamond"/>
          <w:bCs/>
          <w:sz w:val="24"/>
          <w:szCs w:val="24"/>
        </w:rPr>
        <w:t xml:space="preserve">sta la sola riparametrazione c.d. interna, </w:t>
      </w:r>
      <w:r w:rsidR="00FB1FE8">
        <w:rPr>
          <w:rFonts w:ascii="Garamond" w:eastAsia="Times New Roman" w:hAnsi="Garamond"/>
          <w:bCs/>
          <w:sz w:val="24"/>
          <w:szCs w:val="24"/>
        </w:rPr>
        <w:t>un basso peso ponderale degli elementi oggettivi economico-temporali (in quanto coniugati al metodo compensativo-aggregatore che tende ad ampliare l’effetto di differenti ribassi).</w:t>
      </w:r>
    </w:p>
    <w:p w:rsidR="00FB1FE8" w:rsidRPr="00FB1FE8" w:rsidRDefault="00FB1FE8" w:rsidP="00D359B5">
      <w:pPr>
        <w:spacing w:after="0" w:line="240" w:lineRule="auto"/>
        <w:ind w:right="-17"/>
        <w:jc w:val="both"/>
        <w:rPr>
          <w:rFonts w:ascii="Garamond" w:eastAsia="Times New Roman" w:hAnsi="Garamond"/>
          <w:b/>
          <w:bCs/>
          <w:sz w:val="24"/>
          <w:szCs w:val="24"/>
        </w:rPr>
      </w:pPr>
      <w:r w:rsidRPr="00FB1FE8">
        <w:rPr>
          <w:rFonts w:ascii="Garamond" w:eastAsia="Times New Roman" w:hAnsi="Garamond"/>
          <w:b/>
          <w:bCs/>
          <w:sz w:val="24"/>
          <w:szCs w:val="24"/>
        </w:rPr>
        <w:t>Ovviamente</w:t>
      </w:r>
      <w:r w:rsidR="00630C8D">
        <w:rPr>
          <w:rFonts w:ascii="Garamond" w:eastAsia="Times New Roman" w:hAnsi="Garamond"/>
          <w:b/>
          <w:bCs/>
          <w:sz w:val="24"/>
          <w:szCs w:val="24"/>
        </w:rPr>
        <w:t>,</w:t>
      </w:r>
      <w:r w:rsidRPr="00FB1FE8">
        <w:rPr>
          <w:rFonts w:ascii="Garamond" w:eastAsia="Times New Roman" w:hAnsi="Garamond"/>
          <w:b/>
          <w:bCs/>
          <w:sz w:val="24"/>
          <w:szCs w:val="24"/>
        </w:rPr>
        <w:t xml:space="preserve"> </w:t>
      </w:r>
      <w:r w:rsidR="00630C8D" w:rsidRPr="00FB1FE8">
        <w:rPr>
          <w:rFonts w:ascii="Garamond" w:eastAsia="Times New Roman" w:hAnsi="Garamond"/>
          <w:b/>
          <w:bCs/>
          <w:sz w:val="24"/>
          <w:szCs w:val="24"/>
        </w:rPr>
        <w:t>in forza dell’ipotesi di fondo dell’affidamento di una progettazione</w:t>
      </w:r>
      <w:r w:rsidR="00630C8D">
        <w:rPr>
          <w:rFonts w:ascii="Garamond" w:eastAsia="Times New Roman" w:hAnsi="Garamond"/>
          <w:b/>
          <w:bCs/>
          <w:sz w:val="24"/>
          <w:szCs w:val="24"/>
        </w:rPr>
        <w:t>,</w:t>
      </w:r>
      <w:r w:rsidR="00630C8D" w:rsidRPr="00FB1FE8">
        <w:rPr>
          <w:rFonts w:ascii="Garamond" w:eastAsia="Times New Roman" w:hAnsi="Garamond"/>
          <w:b/>
          <w:bCs/>
          <w:sz w:val="24"/>
          <w:szCs w:val="24"/>
        </w:rPr>
        <w:t xml:space="preserve"> </w:t>
      </w:r>
      <w:r w:rsidRPr="00FB1FE8">
        <w:rPr>
          <w:rFonts w:ascii="Garamond" w:eastAsia="Times New Roman" w:hAnsi="Garamond"/>
          <w:b/>
          <w:bCs/>
          <w:sz w:val="24"/>
          <w:szCs w:val="24"/>
        </w:rPr>
        <w:t>sia l’indicazione dei criteri e sub-criteri, che l’indicazione del metodo di calcolo dei punteggi, costituiscono una mera indicazione esemplificativa</w:t>
      </w:r>
      <w:r w:rsidR="00630C8D">
        <w:rPr>
          <w:rFonts w:ascii="Garamond" w:eastAsia="Times New Roman" w:hAnsi="Garamond"/>
          <w:b/>
          <w:bCs/>
          <w:sz w:val="24"/>
          <w:szCs w:val="24"/>
        </w:rPr>
        <w:t xml:space="preserve">, </w:t>
      </w:r>
      <w:r w:rsidRPr="00FB1FE8">
        <w:rPr>
          <w:rFonts w:ascii="Garamond" w:eastAsia="Times New Roman" w:hAnsi="Garamond"/>
          <w:b/>
          <w:bCs/>
          <w:sz w:val="24"/>
          <w:szCs w:val="24"/>
        </w:rPr>
        <w:t xml:space="preserve">al di là dell’aderenza alle indicazione delle Linee Guida </w:t>
      </w:r>
      <w:r w:rsidR="00630C8D">
        <w:rPr>
          <w:rFonts w:ascii="Garamond" w:eastAsia="Times New Roman" w:hAnsi="Garamond"/>
          <w:b/>
          <w:bCs/>
          <w:sz w:val="24"/>
          <w:szCs w:val="24"/>
        </w:rPr>
        <w:t xml:space="preserve">ANAC </w:t>
      </w:r>
      <w:r w:rsidRPr="00FB1FE8">
        <w:rPr>
          <w:rFonts w:ascii="Garamond" w:eastAsia="Times New Roman" w:hAnsi="Garamond"/>
          <w:b/>
          <w:bCs/>
          <w:sz w:val="24"/>
          <w:szCs w:val="24"/>
        </w:rPr>
        <w:t>che comunque dev</w:t>
      </w:r>
      <w:r w:rsidR="00630C8D">
        <w:rPr>
          <w:rFonts w:ascii="Garamond" w:eastAsia="Times New Roman" w:hAnsi="Garamond"/>
          <w:b/>
          <w:bCs/>
          <w:sz w:val="24"/>
          <w:szCs w:val="24"/>
        </w:rPr>
        <w:t>e essere sempre mantenuta</w:t>
      </w:r>
      <w:r>
        <w:rPr>
          <w:rFonts w:ascii="Garamond" w:eastAsia="Times New Roman" w:hAnsi="Garamond"/>
          <w:b/>
          <w:bCs/>
          <w:sz w:val="24"/>
          <w:szCs w:val="24"/>
        </w:rPr>
        <w:t>.</w:t>
      </w:r>
    </w:p>
    <w:p w:rsidR="008E53E6" w:rsidRDefault="0038656E" w:rsidP="00D359B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Il necessario riferimento è dunque, oltre che alle norme del nuovo Codice, alle Linee Guida ANAC n. 2/16, integrate dalla documentazione pubblicata da ANAC a corredo delle stesse.</w:t>
      </w:r>
    </w:p>
    <w:p w:rsidR="0038656E" w:rsidRDefault="0038656E" w:rsidP="00D359B5">
      <w:pPr>
        <w:spacing w:after="0" w:line="240" w:lineRule="auto"/>
        <w:ind w:right="-17"/>
        <w:jc w:val="both"/>
        <w:rPr>
          <w:rFonts w:ascii="Garamond" w:eastAsia="Times New Roman" w:hAnsi="Garamond"/>
          <w:bCs/>
          <w:sz w:val="24"/>
          <w:szCs w:val="24"/>
        </w:rPr>
      </w:pPr>
    </w:p>
    <w:p w:rsidR="009B74CC" w:rsidRDefault="00787B0E" w:rsidP="00D359B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A</w:t>
      </w:r>
      <w:r w:rsidR="00A90610">
        <w:rPr>
          <w:rFonts w:ascii="Garamond" w:eastAsia="Times New Roman" w:hAnsi="Garamond"/>
          <w:bCs/>
          <w:sz w:val="24"/>
          <w:szCs w:val="24"/>
        </w:rPr>
        <w:t xml:space="preserve">ppare opportuno richiamare qui </w:t>
      </w:r>
      <w:r w:rsidR="009B74CC">
        <w:rPr>
          <w:rFonts w:ascii="Garamond" w:eastAsia="Times New Roman" w:hAnsi="Garamond"/>
          <w:bCs/>
          <w:sz w:val="24"/>
          <w:szCs w:val="24"/>
        </w:rPr>
        <w:t>anche la regola di cui all’art. 157 co. 1</w:t>
      </w:r>
      <w:r>
        <w:rPr>
          <w:rFonts w:ascii="Garamond" w:eastAsia="Times New Roman" w:hAnsi="Garamond"/>
          <w:bCs/>
          <w:sz w:val="24"/>
          <w:szCs w:val="24"/>
        </w:rPr>
        <w:t>,</w:t>
      </w:r>
      <w:r w:rsidR="009B74CC">
        <w:rPr>
          <w:rFonts w:ascii="Garamond" w:eastAsia="Times New Roman" w:hAnsi="Garamond"/>
          <w:bCs/>
          <w:sz w:val="24"/>
          <w:szCs w:val="24"/>
        </w:rPr>
        <w:t xml:space="preserve"> </w:t>
      </w:r>
      <w:r>
        <w:rPr>
          <w:rFonts w:ascii="Garamond" w:eastAsia="Times New Roman" w:hAnsi="Garamond"/>
          <w:bCs/>
          <w:sz w:val="24"/>
          <w:szCs w:val="24"/>
        </w:rPr>
        <w:t xml:space="preserve">secondo periodo, </w:t>
      </w:r>
      <w:r w:rsidR="009B74CC">
        <w:rPr>
          <w:rFonts w:ascii="Garamond" w:eastAsia="Times New Roman" w:hAnsi="Garamond"/>
          <w:bCs/>
          <w:sz w:val="24"/>
          <w:szCs w:val="24"/>
        </w:rPr>
        <w:t>Codice</w:t>
      </w:r>
      <w:r w:rsidR="00A90610">
        <w:rPr>
          <w:rFonts w:ascii="Garamond" w:eastAsia="Times New Roman" w:hAnsi="Garamond"/>
          <w:bCs/>
          <w:sz w:val="24"/>
          <w:szCs w:val="24"/>
        </w:rPr>
        <w:t>,</w:t>
      </w:r>
      <w:r w:rsidR="009B74CC">
        <w:rPr>
          <w:rFonts w:ascii="Garamond" w:eastAsia="Times New Roman" w:hAnsi="Garamond"/>
          <w:bCs/>
          <w:sz w:val="24"/>
          <w:szCs w:val="24"/>
        </w:rPr>
        <w:t xml:space="preserve"> per la quale: “</w:t>
      </w:r>
      <w:r w:rsidR="009B74CC" w:rsidRPr="009B74CC">
        <w:rPr>
          <w:rFonts w:ascii="Garamond" w:eastAsia="Times New Roman" w:hAnsi="Garamond"/>
          <w:bCs/>
          <w:i/>
          <w:sz w:val="24"/>
          <w:szCs w:val="24"/>
        </w:rPr>
        <w:t xml:space="preserve">Nel caso in cui il valore delle attività di progettazione, coordinamento della sicurezza in fase di progettazione, di direzione dei lavori, di direzione dell’esecuzione, e coordinamento della sicurezza in fase di esecuzione sia pari o superiore complessivamente la soglia di cui all'articolo 35, </w:t>
      </w:r>
      <w:r w:rsidR="009B74CC" w:rsidRPr="00787B0E">
        <w:rPr>
          <w:rFonts w:ascii="Garamond" w:eastAsia="Times New Roman" w:hAnsi="Garamond"/>
          <w:b/>
          <w:bCs/>
          <w:i/>
          <w:sz w:val="24"/>
          <w:szCs w:val="24"/>
        </w:rPr>
        <w:t>l'affidamento diretto della direzione dei lavori e coordinamento della sicurezza in fase di esecuzione al progettista è consentito soltanto per particolari e motivate ragioni e ove espressamente previsto dal bando di gara della progettazione.</w:t>
      </w:r>
      <w:r w:rsidR="009B74CC">
        <w:rPr>
          <w:rFonts w:ascii="Garamond" w:eastAsia="Times New Roman" w:hAnsi="Garamond"/>
          <w:bCs/>
          <w:sz w:val="24"/>
          <w:szCs w:val="24"/>
        </w:rPr>
        <w:t>”</w:t>
      </w:r>
      <w:r>
        <w:rPr>
          <w:rFonts w:ascii="Garamond" w:eastAsia="Times New Roman" w:hAnsi="Garamond"/>
          <w:bCs/>
          <w:sz w:val="24"/>
          <w:szCs w:val="24"/>
        </w:rPr>
        <w:t xml:space="preserve"> In pratica è l’unica norma che oggi “sembra” occuparsi nel Codice del c.d. affidamento diretto al progettista delle D.L. ordinarie e sicurezza. In realtà l’istituto deve ritenersi (almeno prudenzialmente) espunto dall’ordinamento settoriale con l</w:t>
      </w:r>
      <w:r w:rsidR="0038656E">
        <w:rPr>
          <w:rFonts w:ascii="Garamond" w:eastAsia="Times New Roman" w:hAnsi="Garamond"/>
          <w:bCs/>
          <w:sz w:val="24"/>
          <w:szCs w:val="24"/>
        </w:rPr>
        <w:t>a non riproduzione</w:t>
      </w:r>
      <w:r>
        <w:rPr>
          <w:rFonts w:ascii="Garamond" w:eastAsia="Times New Roman" w:hAnsi="Garamond"/>
          <w:bCs/>
          <w:sz w:val="24"/>
          <w:szCs w:val="24"/>
        </w:rPr>
        <w:t xml:space="preserve"> dell’art. 130 </w:t>
      </w:r>
      <w:r w:rsidR="0038656E">
        <w:rPr>
          <w:rFonts w:ascii="Garamond" w:eastAsia="Times New Roman" w:hAnsi="Garamond"/>
          <w:bCs/>
          <w:sz w:val="24"/>
          <w:szCs w:val="24"/>
        </w:rPr>
        <w:t xml:space="preserve">del </w:t>
      </w:r>
      <w:r>
        <w:rPr>
          <w:rFonts w:ascii="Garamond" w:eastAsia="Times New Roman" w:hAnsi="Garamond"/>
          <w:bCs/>
          <w:sz w:val="24"/>
          <w:szCs w:val="24"/>
        </w:rPr>
        <w:t>vecchio Codice</w:t>
      </w:r>
      <w:r w:rsidR="0038656E">
        <w:rPr>
          <w:rFonts w:ascii="Garamond" w:eastAsia="Times New Roman" w:hAnsi="Garamond"/>
          <w:bCs/>
          <w:sz w:val="24"/>
          <w:szCs w:val="24"/>
        </w:rPr>
        <w:t xml:space="preserve"> (che era già stato oggetto peraltro di interpretazioni restrittive da parte della giurisprudenza)</w:t>
      </w:r>
      <w:r>
        <w:rPr>
          <w:rFonts w:ascii="Garamond" w:eastAsia="Times New Roman" w:hAnsi="Garamond"/>
          <w:bCs/>
          <w:sz w:val="24"/>
          <w:szCs w:val="24"/>
        </w:rPr>
        <w:t>. Valgono quindi per l’affidamento</w:t>
      </w:r>
      <w:r w:rsidRPr="00787B0E">
        <w:rPr>
          <w:rFonts w:ascii="Garamond" w:eastAsia="Times New Roman" w:hAnsi="Garamond"/>
          <w:bCs/>
          <w:sz w:val="24"/>
          <w:szCs w:val="24"/>
        </w:rPr>
        <w:t xml:space="preserve"> </w:t>
      </w:r>
      <w:r>
        <w:rPr>
          <w:rFonts w:ascii="Garamond" w:eastAsia="Times New Roman" w:hAnsi="Garamond"/>
          <w:bCs/>
          <w:sz w:val="24"/>
          <w:szCs w:val="24"/>
        </w:rPr>
        <w:t>delle D.L. le regole ordinarie, compreso il divieto di frazionamento al fine di evitare l’applicazione delle norme codicistiche. L’art. 157 sembra introdurre quindi un ulteriore limite, in realtà, oltre quello desumibile dalle regole ordinarie (eventualmente come espressamente derogate dalla normativa emergenziale e della ricostruzione)</w:t>
      </w:r>
      <w:r w:rsidR="0038656E">
        <w:rPr>
          <w:rFonts w:ascii="Garamond" w:eastAsia="Times New Roman" w:hAnsi="Garamond"/>
          <w:bCs/>
          <w:sz w:val="24"/>
          <w:szCs w:val="24"/>
        </w:rPr>
        <w:t>, impedendo un affidamento diretto (salvo le condizioni ivi previste) che sarebbe consentito invece in base all’importo del singolo incarico.</w:t>
      </w:r>
    </w:p>
    <w:p w:rsidR="0038656E" w:rsidRDefault="0038656E" w:rsidP="00D359B5">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Al riguardo, nel disciplinare afferente agli affidamenti sopra-soglia, si è espressamente prevista la facoltà per l’ente di prevedere, fin dalla gara progettazione, l’affidamento all’incaricato della stessa anche delle D.L., ovviamente con adeguamento dell’importo a base di gara.</w:t>
      </w:r>
    </w:p>
    <w:p w:rsidR="009B74CC" w:rsidRDefault="009B74CC" w:rsidP="00D359B5">
      <w:pPr>
        <w:spacing w:after="0" w:line="240" w:lineRule="auto"/>
        <w:ind w:right="-17"/>
        <w:jc w:val="both"/>
        <w:rPr>
          <w:rFonts w:ascii="Garamond" w:eastAsia="Times New Roman" w:hAnsi="Garamond"/>
          <w:bCs/>
          <w:sz w:val="24"/>
          <w:szCs w:val="24"/>
        </w:rPr>
      </w:pPr>
    </w:p>
    <w:p w:rsidR="00D725A9" w:rsidRDefault="00D725A9" w:rsidP="006A7FB1">
      <w:pPr>
        <w:spacing w:after="0" w:line="240" w:lineRule="auto"/>
        <w:ind w:right="-17"/>
        <w:jc w:val="both"/>
        <w:rPr>
          <w:rFonts w:ascii="Garamond" w:eastAsia="Times New Roman" w:hAnsi="Garamond"/>
          <w:bCs/>
          <w:sz w:val="24"/>
          <w:szCs w:val="24"/>
        </w:rPr>
      </w:pPr>
      <w:r>
        <w:rPr>
          <w:rFonts w:ascii="Garamond" w:eastAsia="Times New Roman" w:hAnsi="Garamond"/>
          <w:bCs/>
          <w:sz w:val="24"/>
          <w:szCs w:val="24"/>
        </w:rPr>
        <w:t xml:space="preserve">Per gli schemi di </w:t>
      </w:r>
      <w:r w:rsidR="00670752">
        <w:rPr>
          <w:rFonts w:ascii="Garamond" w:eastAsia="Times New Roman" w:hAnsi="Garamond"/>
          <w:bCs/>
          <w:sz w:val="24"/>
          <w:szCs w:val="24"/>
        </w:rPr>
        <w:t xml:space="preserve">avviso per indagine di mercato, </w:t>
      </w:r>
      <w:r>
        <w:rPr>
          <w:rFonts w:ascii="Garamond" w:eastAsia="Times New Roman" w:hAnsi="Garamond"/>
          <w:bCs/>
          <w:sz w:val="24"/>
          <w:szCs w:val="24"/>
        </w:rPr>
        <w:t xml:space="preserve">lettera di invito e disciplinare di gara si </w:t>
      </w:r>
      <w:r w:rsidR="00670752">
        <w:rPr>
          <w:rFonts w:ascii="Garamond" w:eastAsia="Times New Roman" w:hAnsi="Garamond"/>
          <w:bCs/>
          <w:sz w:val="24"/>
          <w:szCs w:val="24"/>
        </w:rPr>
        <w:t>rinvia a</w:t>
      </w:r>
      <w:r w:rsidR="00630C8D">
        <w:rPr>
          <w:rFonts w:ascii="Garamond" w:eastAsia="Times New Roman" w:hAnsi="Garamond"/>
          <w:bCs/>
          <w:sz w:val="24"/>
          <w:szCs w:val="24"/>
        </w:rPr>
        <w:t>l</w:t>
      </w:r>
      <w:r>
        <w:rPr>
          <w:rFonts w:ascii="Garamond" w:eastAsia="Times New Roman" w:hAnsi="Garamond"/>
          <w:bCs/>
          <w:sz w:val="24"/>
          <w:szCs w:val="24"/>
        </w:rPr>
        <w:t xml:space="preserve"> file </w:t>
      </w:r>
      <w:r w:rsidR="00670752">
        <w:rPr>
          <w:rFonts w:ascii="Garamond" w:eastAsia="Times New Roman" w:hAnsi="Garamond"/>
          <w:bCs/>
          <w:sz w:val="24"/>
          <w:szCs w:val="24"/>
        </w:rPr>
        <w:t>separato</w:t>
      </w:r>
      <w:r>
        <w:rPr>
          <w:rFonts w:ascii="Garamond" w:eastAsia="Times New Roman" w:hAnsi="Garamond"/>
          <w:bCs/>
          <w:sz w:val="24"/>
          <w:szCs w:val="24"/>
        </w:rPr>
        <w:t>.</w:t>
      </w:r>
    </w:p>
    <w:p w:rsidR="00B41F27" w:rsidRDefault="00B41F27" w:rsidP="006A7FB1">
      <w:pPr>
        <w:spacing w:after="0" w:line="240" w:lineRule="auto"/>
        <w:ind w:right="-17"/>
        <w:jc w:val="both"/>
        <w:rPr>
          <w:rFonts w:ascii="Garamond" w:eastAsia="Times New Roman" w:hAnsi="Garamond"/>
          <w:bCs/>
          <w:sz w:val="24"/>
          <w:szCs w:val="24"/>
        </w:rPr>
      </w:pPr>
    </w:p>
    <w:p w:rsidR="00B41F27" w:rsidRDefault="00B41F27" w:rsidP="006A7FB1">
      <w:pPr>
        <w:spacing w:after="0" w:line="240" w:lineRule="auto"/>
        <w:ind w:right="-17"/>
        <w:jc w:val="both"/>
        <w:rPr>
          <w:rFonts w:ascii="Garamond" w:hAnsi="Garamond" w:cs="Garamond"/>
          <w:b/>
          <w:sz w:val="24"/>
          <w:szCs w:val="24"/>
        </w:rPr>
      </w:pPr>
      <w:r w:rsidRPr="0098798A">
        <w:rPr>
          <w:rFonts w:ascii="Garamond" w:hAnsi="Garamond" w:cs="Garamond"/>
          <w:b/>
          <w:sz w:val="24"/>
          <w:szCs w:val="24"/>
        </w:rPr>
        <w:t xml:space="preserve">AFFIDAMENTI </w:t>
      </w:r>
      <w:r w:rsidR="00036621">
        <w:rPr>
          <w:rFonts w:ascii="Garamond" w:hAnsi="Garamond" w:cs="Garamond"/>
          <w:b/>
          <w:sz w:val="24"/>
          <w:szCs w:val="24"/>
        </w:rPr>
        <w:t xml:space="preserve">PER IMPORTI </w:t>
      </w:r>
      <w:r w:rsidRPr="0098798A">
        <w:rPr>
          <w:rFonts w:ascii="Garamond" w:hAnsi="Garamond" w:cs="Garamond"/>
          <w:b/>
          <w:sz w:val="24"/>
          <w:szCs w:val="24"/>
        </w:rPr>
        <w:t>PARI O SUPERIORI A</w:t>
      </w:r>
      <w:r>
        <w:rPr>
          <w:rFonts w:ascii="Garamond" w:hAnsi="Garamond" w:cs="Garamond"/>
          <w:b/>
          <w:sz w:val="24"/>
          <w:szCs w:val="24"/>
        </w:rPr>
        <w:t xml:space="preserve">LLA SOGLIA DI RILIEVO EUROPEO </w:t>
      </w:r>
      <w:r w:rsidR="00036621">
        <w:rPr>
          <w:rFonts w:ascii="Garamond" w:hAnsi="Garamond" w:cs="Garamond"/>
          <w:b/>
          <w:sz w:val="24"/>
          <w:szCs w:val="24"/>
        </w:rPr>
        <w:t xml:space="preserve">- </w:t>
      </w:r>
      <w:r>
        <w:rPr>
          <w:rFonts w:ascii="Garamond" w:hAnsi="Garamond" w:cs="Garamond"/>
          <w:b/>
          <w:sz w:val="24"/>
          <w:szCs w:val="24"/>
        </w:rPr>
        <w:t>DISCIPLINARE DI GARA</w:t>
      </w:r>
    </w:p>
    <w:p w:rsidR="00B41F27" w:rsidRDefault="00B41F27" w:rsidP="006A7FB1">
      <w:pPr>
        <w:spacing w:after="0" w:line="240" w:lineRule="auto"/>
        <w:ind w:right="-17"/>
        <w:jc w:val="both"/>
        <w:rPr>
          <w:rFonts w:ascii="Garamond" w:hAnsi="Garamond" w:cs="Garamond"/>
          <w:b/>
          <w:sz w:val="24"/>
          <w:szCs w:val="24"/>
        </w:rPr>
      </w:pPr>
    </w:p>
    <w:p w:rsidR="004200AC" w:rsidRDefault="00B41F27" w:rsidP="006A7FB1">
      <w:pPr>
        <w:spacing w:after="0" w:line="240" w:lineRule="auto"/>
        <w:ind w:right="-17"/>
        <w:jc w:val="both"/>
        <w:rPr>
          <w:rFonts w:ascii="Garamond" w:hAnsi="Garamond" w:cs="Garamond"/>
          <w:sz w:val="24"/>
          <w:szCs w:val="24"/>
        </w:rPr>
      </w:pPr>
      <w:r w:rsidRPr="00B41F27">
        <w:rPr>
          <w:rFonts w:ascii="Garamond" w:hAnsi="Garamond" w:cs="Garamond"/>
          <w:sz w:val="24"/>
          <w:szCs w:val="24"/>
        </w:rPr>
        <w:t xml:space="preserve">Per </w:t>
      </w:r>
      <w:r>
        <w:rPr>
          <w:rFonts w:ascii="Garamond" w:hAnsi="Garamond" w:cs="Garamond"/>
          <w:sz w:val="24"/>
          <w:szCs w:val="24"/>
        </w:rPr>
        <w:t xml:space="preserve">tali procedure, che non subiscono particolari deroghe in forza delle norme relative alla ricostruzione post-sisma, si è utilizzato </w:t>
      </w:r>
      <w:r w:rsidR="006E36A2">
        <w:rPr>
          <w:rFonts w:ascii="Garamond" w:hAnsi="Garamond" w:cs="Garamond"/>
          <w:sz w:val="24"/>
          <w:szCs w:val="24"/>
        </w:rPr>
        <w:t xml:space="preserve">ampiamente </w:t>
      </w:r>
      <w:r>
        <w:rPr>
          <w:rFonts w:ascii="Garamond" w:hAnsi="Garamond" w:cs="Garamond"/>
          <w:sz w:val="24"/>
          <w:szCs w:val="24"/>
        </w:rPr>
        <w:t>il Bando tipo n. 1/17 dell’ANAC, adeguato</w:t>
      </w:r>
      <w:r w:rsidR="00CF6F90">
        <w:rPr>
          <w:rFonts w:ascii="Garamond" w:hAnsi="Garamond" w:cs="Garamond"/>
          <w:sz w:val="24"/>
          <w:szCs w:val="24"/>
        </w:rPr>
        <w:t>,</w:t>
      </w:r>
      <w:r>
        <w:rPr>
          <w:rFonts w:ascii="Garamond" w:hAnsi="Garamond" w:cs="Garamond"/>
          <w:sz w:val="24"/>
          <w:szCs w:val="24"/>
        </w:rPr>
        <w:t xml:space="preserve"> con riguardo ai</w:t>
      </w:r>
      <w:r w:rsidR="006E36A2">
        <w:rPr>
          <w:rFonts w:ascii="Garamond" w:hAnsi="Garamond" w:cs="Garamond"/>
          <w:sz w:val="24"/>
          <w:szCs w:val="24"/>
        </w:rPr>
        <w:t xml:space="preserve"> particola</w:t>
      </w:r>
      <w:r>
        <w:rPr>
          <w:rFonts w:ascii="Garamond" w:hAnsi="Garamond" w:cs="Garamond"/>
          <w:sz w:val="24"/>
          <w:szCs w:val="24"/>
        </w:rPr>
        <w:t>ri servizi da affidare</w:t>
      </w:r>
      <w:r w:rsidR="00CF6F90">
        <w:rPr>
          <w:rFonts w:ascii="Garamond" w:hAnsi="Garamond" w:cs="Garamond"/>
          <w:sz w:val="24"/>
          <w:szCs w:val="24"/>
        </w:rPr>
        <w:t>,</w:t>
      </w:r>
      <w:r>
        <w:rPr>
          <w:rFonts w:ascii="Garamond" w:hAnsi="Garamond" w:cs="Garamond"/>
          <w:sz w:val="24"/>
          <w:szCs w:val="24"/>
        </w:rPr>
        <w:t xml:space="preserve"> </w:t>
      </w:r>
      <w:r w:rsidR="00CF6F90">
        <w:rPr>
          <w:rFonts w:ascii="Garamond" w:hAnsi="Garamond" w:cs="Garamond"/>
          <w:sz w:val="24"/>
          <w:szCs w:val="24"/>
        </w:rPr>
        <w:t>attraverso</w:t>
      </w:r>
      <w:r w:rsidR="004200AC">
        <w:rPr>
          <w:rFonts w:ascii="Garamond" w:hAnsi="Garamond" w:cs="Garamond"/>
          <w:sz w:val="24"/>
          <w:szCs w:val="24"/>
        </w:rPr>
        <w:t xml:space="preserve"> le Linee Guida n. 1/16 </w:t>
      </w:r>
      <w:r>
        <w:rPr>
          <w:rFonts w:ascii="Garamond" w:hAnsi="Garamond" w:cs="Garamond"/>
          <w:sz w:val="24"/>
          <w:szCs w:val="24"/>
        </w:rPr>
        <w:t>(</w:t>
      </w:r>
      <w:r w:rsidR="004200AC">
        <w:rPr>
          <w:rFonts w:ascii="Garamond" w:hAnsi="Garamond" w:cs="Garamond"/>
          <w:sz w:val="24"/>
          <w:szCs w:val="24"/>
        </w:rPr>
        <w:t xml:space="preserve">e </w:t>
      </w:r>
      <w:r>
        <w:rPr>
          <w:rFonts w:ascii="Garamond" w:hAnsi="Garamond" w:cs="Garamond"/>
          <w:sz w:val="24"/>
          <w:szCs w:val="24"/>
        </w:rPr>
        <w:t>secondo l’ipotesi base</w:t>
      </w:r>
      <w:r w:rsidR="006E36A2">
        <w:rPr>
          <w:rFonts w:ascii="Garamond" w:hAnsi="Garamond" w:cs="Garamond"/>
          <w:sz w:val="24"/>
          <w:szCs w:val="24"/>
        </w:rPr>
        <w:t xml:space="preserve"> d</w:t>
      </w:r>
      <w:r w:rsidR="004200AC">
        <w:rPr>
          <w:rFonts w:ascii="Garamond" w:hAnsi="Garamond" w:cs="Garamond"/>
          <w:sz w:val="24"/>
          <w:szCs w:val="24"/>
        </w:rPr>
        <w:t xml:space="preserve">i </w:t>
      </w:r>
      <w:r w:rsidR="006E36A2">
        <w:rPr>
          <w:rFonts w:ascii="Garamond" w:hAnsi="Garamond" w:cs="Garamond"/>
          <w:sz w:val="24"/>
          <w:szCs w:val="24"/>
        </w:rPr>
        <w:t>lavoro</w:t>
      </w:r>
      <w:r w:rsidR="004200AC">
        <w:rPr>
          <w:rFonts w:ascii="Garamond" w:hAnsi="Garamond" w:cs="Garamond"/>
          <w:sz w:val="24"/>
          <w:szCs w:val="24"/>
        </w:rPr>
        <w:t xml:space="preserve"> del</w:t>
      </w:r>
      <w:r w:rsidR="006E36A2">
        <w:rPr>
          <w:rFonts w:ascii="Garamond" w:hAnsi="Garamond" w:cs="Garamond"/>
          <w:sz w:val="24"/>
          <w:szCs w:val="24"/>
        </w:rPr>
        <w:t>l’</w:t>
      </w:r>
      <w:r>
        <w:rPr>
          <w:rFonts w:ascii="Garamond" w:hAnsi="Garamond" w:cs="Garamond"/>
          <w:sz w:val="24"/>
          <w:szCs w:val="24"/>
        </w:rPr>
        <w:t>affidamento d</w:t>
      </w:r>
      <w:r w:rsidR="004200AC">
        <w:rPr>
          <w:rFonts w:ascii="Garamond" w:hAnsi="Garamond" w:cs="Garamond"/>
          <w:sz w:val="24"/>
          <w:szCs w:val="24"/>
        </w:rPr>
        <w:t xml:space="preserve">i una </w:t>
      </w:r>
      <w:r>
        <w:rPr>
          <w:rFonts w:ascii="Garamond" w:hAnsi="Garamond" w:cs="Garamond"/>
          <w:sz w:val="24"/>
          <w:szCs w:val="24"/>
        </w:rPr>
        <w:t>progettazione definitiva ed esecutiva, in presenza di un progetto di fattibilità tecnica ed economica già acquisito).</w:t>
      </w:r>
      <w:r w:rsidR="004200AC">
        <w:rPr>
          <w:rFonts w:ascii="Garamond" w:hAnsi="Garamond" w:cs="Garamond"/>
          <w:sz w:val="24"/>
          <w:szCs w:val="24"/>
        </w:rPr>
        <w:t xml:space="preserve"> </w:t>
      </w:r>
      <w:r w:rsidR="006E36A2">
        <w:rPr>
          <w:rFonts w:ascii="Garamond" w:hAnsi="Garamond" w:cs="Garamond"/>
          <w:sz w:val="24"/>
          <w:szCs w:val="24"/>
        </w:rPr>
        <w:t>C</w:t>
      </w:r>
      <w:r>
        <w:rPr>
          <w:rFonts w:ascii="Garamond" w:hAnsi="Garamond" w:cs="Garamond"/>
          <w:sz w:val="24"/>
          <w:szCs w:val="24"/>
        </w:rPr>
        <w:t xml:space="preserve">i </w:t>
      </w:r>
      <w:r w:rsidR="006E36A2">
        <w:rPr>
          <w:rFonts w:ascii="Garamond" w:hAnsi="Garamond" w:cs="Garamond"/>
          <w:sz w:val="24"/>
          <w:szCs w:val="24"/>
        </w:rPr>
        <w:t>si è limitati</w:t>
      </w:r>
      <w:r w:rsidR="00D76E32">
        <w:rPr>
          <w:rFonts w:ascii="Garamond" w:hAnsi="Garamond" w:cs="Garamond"/>
          <w:sz w:val="24"/>
          <w:szCs w:val="24"/>
        </w:rPr>
        <w:t xml:space="preserve"> quindi </w:t>
      </w:r>
      <w:r w:rsidR="006E36A2">
        <w:rPr>
          <w:rFonts w:ascii="Garamond" w:hAnsi="Garamond" w:cs="Garamond"/>
          <w:sz w:val="24"/>
          <w:szCs w:val="24"/>
        </w:rPr>
        <w:t>all</w:t>
      </w:r>
      <w:r w:rsidR="00D76E32">
        <w:rPr>
          <w:rFonts w:ascii="Garamond" w:hAnsi="Garamond" w:cs="Garamond"/>
          <w:sz w:val="24"/>
          <w:szCs w:val="24"/>
        </w:rPr>
        <w:t>e</w:t>
      </w:r>
      <w:r w:rsidR="006E36A2">
        <w:rPr>
          <w:rFonts w:ascii="Garamond" w:hAnsi="Garamond" w:cs="Garamond"/>
          <w:sz w:val="24"/>
          <w:szCs w:val="24"/>
        </w:rPr>
        <w:t xml:space="preserve"> </w:t>
      </w:r>
      <w:r>
        <w:rPr>
          <w:rFonts w:ascii="Garamond" w:hAnsi="Garamond" w:cs="Garamond"/>
          <w:sz w:val="24"/>
          <w:szCs w:val="24"/>
        </w:rPr>
        <w:t>modific</w:t>
      </w:r>
      <w:r w:rsidR="00D76E32">
        <w:rPr>
          <w:rFonts w:ascii="Garamond" w:hAnsi="Garamond" w:cs="Garamond"/>
          <w:sz w:val="24"/>
          <w:szCs w:val="24"/>
        </w:rPr>
        <w:t xml:space="preserve">he ritenute necessarie </w:t>
      </w:r>
      <w:r w:rsidR="006E36A2">
        <w:rPr>
          <w:rFonts w:ascii="Garamond" w:hAnsi="Garamond" w:cs="Garamond"/>
          <w:sz w:val="24"/>
          <w:szCs w:val="24"/>
        </w:rPr>
        <w:t>de</w:t>
      </w:r>
      <w:r>
        <w:rPr>
          <w:rFonts w:ascii="Garamond" w:hAnsi="Garamond" w:cs="Garamond"/>
          <w:sz w:val="24"/>
          <w:szCs w:val="24"/>
        </w:rPr>
        <w:t>l disciplinare</w:t>
      </w:r>
      <w:r w:rsidR="006E36A2">
        <w:rPr>
          <w:rFonts w:ascii="Garamond" w:hAnsi="Garamond" w:cs="Garamond"/>
          <w:sz w:val="24"/>
          <w:szCs w:val="24"/>
        </w:rPr>
        <w:t>-</w:t>
      </w:r>
      <w:r>
        <w:rPr>
          <w:rFonts w:ascii="Garamond" w:hAnsi="Garamond" w:cs="Garamond"/>
          <w:sz w:val="24"/>
          <w:szCs w:val="24"/>
        </w:rPr>
        <w:t xml:space="preserve">tipo </w:t>
      </w:r>
      <w:r w:rsidR="004200AC">
        <w:rPr>
          <w:rFonts w:ascii="Garamond" w:hAnsi="Garamond" w:cs="Garamond"/>
          <w:sz w:val="24"/>
          <w:szCs w:val="24"/>
        </w:rPr>
        <w:t>(</w:t>
      </w:r>
      <w:r>
        <w:rPr>
          <w:rFonts w:ascii="Garamond" w:hAnsi="Garamond" w:cs="Garamond"/>
          <w:sz w:val="24"/>
          <w:szCs w:val="24"/>
        </w:rPr>
        <w:t>predisposto dall’ANAC per servizi e forniture generici sopra-soglia</w:t>
      </w:r>
      <w:r w:rsidR="004200AC">
        <w:rPr>
          <w:rFonts w:ascii="Garamond" w:hAnsi="Garamond" w:cs="Garamond"/>
          <w:sz w:val="24"/>
          <w:szCs w:val="24"/>
        </w:rPr>
        <w:t>).</w:t>
      </w:r>
    </w:p>
    <w:p w:rsidR="004200AC" w:rsidRDefault="004200AC" w:rsidP="006A7FB1">
      <w:pPr>
        <w:spacing w:after="0" w:line="240" w:lineRule="auto"/>
        <w:ind w:right="-17"/>
        <w:jc w:val="both"/>
        <w:rPr>
          <w:rFonts w:ascii="Garamond" w:hAnsi="Garamond" w:cs="Garamond"/>
          <w:sz w:val="24"/>
          <w:szCs w:val="24"/>
        </w:rPr>
      </w:pPr>
    </w:p>
    <w:p w:rsidR="004200AC" w:rsidRDefault="004200AC" w:rsidP="006A7FB1">
      <w:pPr>
        <w:spacing w:after="0" w:line="240" w:lineRule="auto"/>
        <w:ind w:right="-17"/>
        <w:jc w:val="both"/>
        <w:rPr>
          <w:rFonts w:ascii="Garamond" w:hAnsi="Garamond" w:cs="Garamond"/>
          <w:sz w:val="24"/>
          <w:szCs w:val="24"/>
        </w:rPr>
      </w:pPr>
      <w:r>
        <w:rPr>
          <w:rFonts w:ascii="Garamond" w:hAnsi="Garamond" w:cs="Garamond"/>
          <w:sz w:val="24"/>
          <w:szCs w:val="24"/>
        </w:rPr>
        <w:t>P</w:t>
      </w:r>
      <w:r w:rsidR="00B41F27">
        <w:rPr>
          <w:rFonts w:ascii="Garamond" w:hAnsi="Garamond" w:cs="Garamond"/>
          <w:sz w:val="24"/>
          <w:szCs w:val="24"/>
        </w:rPr>
        <w:t xml:space="preserve">er </w:t>
      </w:r>
      <w:r>
        <w:rPr>
          <w:rFonts w:ascii="Garamond" w:hAnsi="Garamond" w:cs="Garamond"/>
          <w:sz w:val="24"/>
          <w:szCs w:val="24"/>
        </w:rPr>
        <w:t>gli affidamenti in parola</w:t>
      </w:r>
      <w:r w:rsidR="00B41F27">
        <w:rPr>
          <w:rFonts w:ascii="Garamond" w:hAnsi="Garamond" w:cs="Garamond"/>
          <w:sz w:val="24"/>
          <w:szCs w:val="24"/>
        </w:rPr>
        <w:t xml:space="preserve"> </w:t>
      </w:r>
      <w:r w:rsidR="00D76E32">
        <w:rPr>
          <w:rFonts w:ascii="Garamond" w:hAnsi="Garamond" w:cs="Garamond"/>
          <w:sz w:val="24"/>
          <w:szCs w:val="24"/>
        </w:rPr>
        <w:t xml:space="preserve">poi </w:t>
      </w:r>
      <w:r w:rsidR="00B41F27">
        <w:rPr>
          <w:rFonts w:ascii="Garamond" w:hAnsi="Garamond" w:cs="Garamond"/>
          <w:sz w:val="24"/>
          <w:szCs w:val="24"/>
        </w:rPr>
        <w:t xml:space="preserve">il modello di bando corrisponde </w:t>
      </w:r>
      <w:r>
        <w:rPr>
          <w:rFonts w:ascii="Garamond" w:hAnsi="Garamond" w:cs="Garamond"/>
          <w:sz w:val="24"/>
          <w:szCs w:val="24"/>
        </w:rPr>
        <w:t xml:space="preserve">ovviamente </w:t>
      </w:r>
      <w:r w:rsidR="00B41F27">
        <w:rPr>
          <w:rFonts w:ascii="Garamond" w:hAnsi="Garamond" w:cs="Garamond"/>
          <w:sz w:val="24"/>
          <w:szCs w:val="24"/>
        </w:rPr>
        <w:t>al formulario europeo.</w:t>
      </w:r>
    </w:p>
    <w:p w:rsidR="004200AC" w:rsidRDefault="004200AC" w:rsidP="006A7FB1">
      <w:pPr>
        <w:spacing w:after="0" w:line="240" w:lineRule="auto"/>
        <w:ind w:right="-17"/>
        <w:jc w:val="both"/>
        <w:rPr>
          <w:rFonts w:ascii="Garamond" w:hAnsi="Garamond" w:cs="Garamond"/>
          <w:sz w:val="24"/>
          <w:szCs w:val="24"/>
        </w:rPr>
      </w:pPr>
    </w:p>
    <w:p w:rsidR="00B41F27" w:rsidRDefault="00630C8D" w:rsidP="006A7FB1">
      <w:pPr>
        <w:spacing w:after="0" w:line="240" w:lineRule="auto"/>
        <w:ind w:right="-17"/>
        <w:jc w:val="both"/>
        <w:rPr>
          <w:rFonts w:ascii="Garamond" w:hAnsi="Garamond" w:cs="Garamond"/>
          <w:sz w:val="24"/>
          <w:szCs w:val="24"/>
        </w:rPr>
      </w:pPr>
      <w:r>
        <w:rPr>
          <w:rFonts w:ascii="Garamond" w:hAnsi="Garamond" w:cs="Garamond"/>
          <w:sz w:val="24"/>
          <w:szCs w:val="24"/>
        </w:rPr>
        <w:t xml:space="preserve">Valgono </w:t>
      </w:r>
      <w:r w:rsidR="004200AC">
        <w:rPr>
          <w:rFonts w:ascii="Garamond" w:hAnsi="Garamond" w:cs="Garamond"/>
          <w:sz w:val="24"/>
          <w:szCs w:val="24"/>
        </w:rPr>
        <w:t xml:space="preserve">per il presente schema </w:t>
      </w:r>
      <w:r>
        <w:rPr>
          <w:rFonts w:ascii="Garamond" w:hAnsi="Garamond" w:cs="Garamond"/>
          <w:sz w:val="24"/>
          <w:szCs w:val="24"/>
        </w:rPr>
        <w:t xml:space="preserve">tutte le considerazioni già sopra svolte con riguardo agli schemi precedenti, </w:t>
      </w:r>
      <w:r w:rsidR="004200AC">
        <w:rPr>
          <w:rFonts w:ascii="Garamond" w:hAnsi="Garamond" w:cs="Garamond"/>
          <w:sz w:val="24"/>
          <w:szCs w:val="24"/>
        </w:rPr>
        <w:t xml:space="preserve">in particolare </w:t>
      </w:r>
      <w:r>
        <w:rPr>
          <w:rFonts w:ascii="Garamond" w:hAnsi="Garamond" w:cs="Garamond"/>
          <w:sz w:val="24"/>
          <w:szCs w:val="24"/>
        </w:rPr>
        <w:t>quanto al</w:t>
      </w:r>
      <w:r w:rsidR="00CF6F90">
        <w:rPr>
          <w:rFonts w:ascii="Garamond" w:hAnsi="Garamond" w:cs="Garamond"/>
          <w:sz w:val="24"/>
          <w:szCs w:val="24"/>
        </w:rPr>
        <w:t xml:space="preserve"> complesso del</w:t>
      </w:r>
      <w:r>
        <w:rPr>
          <w:rFonts w:ascii="Garamond" w:hAnsi="Garamond" w:cs="Garamond"/>
          <w:sz w:val="24"/>
          <w:szCs w:val="24"/>
        </w:rPr>
        <w:t xml:space="preserve">le indicazioni </w:t>
      </w:r>
      <w:r w:rsidR="00CF6F90">
        <w:rPr>
          <w:rFonts w:ascii="Garamond" w:hAnsi="Garamond" w:cs="Garamond"/>
          <w:sz w:val="24"/>
          <w:szCs w:val="24"/>
        </w:rPr>
        <w:t>dell’</w:t>
      </w:r>
      <w:r>
        <w:rPr>
          <w:rFonts w:ascii="Garamond" w:hAnsi="Garamond" w:cs="Garamond"/>
          <w:sz w:val="24"/>
          <w:szCs w:val="24"/>
        </w:rPr>
        <w:t xml:space="preserve">ANAC, </w:t>
      </w:r>
      <w:r w:rsidR="004200AC">
        <w:rPr>
          <w:rFonts w:ascii="Garamond" w:hAnsi="Garamond" w:cs="Garamond"/>
          <w:sz w:val="24"/>
          <w:szCs w:val="24"/>
        </w:rPr>
        <w:t>a</w:t>
      </w:r>
      <w:r>
        <w:rPr>
          <w:rFonts w:ascii="Garamond" w:hAnsi="Garamond" w:cs="Garamond"/>
          <w:sz w:val="24"/>
          <w:szCs w:val="24"/>
        </w:rPr>
        <w:t xml:space="preserve">lle scelte </w:t>
      </w:r>
      <w:r w:rsidR="004200AC">
        <w:rPr>
          <w:rFonts w:ascii="Garamond" w:hAnsi="Garamond" w:cs="Garamond"/>
          <w:sz w:val="24"/>
          <w:szCs w:val="24"/>
        </w:rPr>
        <w:t>opera</w:t>
      </w:r>
      <w:r>
        <w:rPr>
          <w:rFonts w:ascii="Garamond" w:hAnsi="Garamond" w:cs="Garamond"/>
          <w:sz w:val="24"/>
          <w:szCs w:val="24"/>
        </w:rPr>
        <w:t xml:space="preserve">te e </w:t>
      </w:r>
      <w:r w:rsidR="004200AC">
        <w:rPr>
          <w:rFonts w:ascii="Garamond" w:hAnsi="Garamond" w:cs="Garamond"/>
          <w:sz w:val="24"/>
          <w:szCs w:val="24"/>
        </w:rPr>
        <w:t>a</w:t>
      </w:r>
      <w:r>
        <w:rPr>
          <w:rFonts w:ascii="Garamond" w:hAnsi="Garamond" w:cs="Garamond"/>
          <w:sz w:val="24"/>
          <w:szCs w:val="24"/>
        </w:rPr>
        <w:t>lla pubblicità da dare ai futuri bandi</w:t>
      </w:r>
      <w:r w:rsidR="004200AC">
        <w:rPr>
          <w:rFonts w:ascii="Garamond" w:hAnsi="Garamond" w:cs="Garamond"/>
          <w:sz w:val="24"/>
          <w:szCs w:val="24"/>
        </w:rPr>
        <w:t>.</w:t>
      </w:r>
    </w:p>
    <w:p w:rsidR="00B41F27" w:rsidRDefault="00B41F27" w:rsidP="006A7FB1">
      <w:pPr>
        <w:spacing w:after="0" w:line="240" w:lineRule="auto"/>
        <w:ind w:right="-17"/>
        <w:jc w:val="both"/>
        <w:rPr>
          <w:rFonts w:ascii="Garamond" w:hAnsi="Garamond" w:cs="Garamond"/>
          <w:sz w:val="24"/>
          <w:szCs w:val="24"/>
        </w:rPr>
      </w:pPr>
    </w:p>
    <w:p w:rsidR="00B41F27" w:rsidRDefault="00D76E32" w:rsidP="006A7FB1">
      <w:pPr>
        <w:spacing w:after="0" w:line="240" w:lineRule="auto"/>
        <w:ind w:right="-17"/>
        <w:jc w:val="both"/>
        <w:rPr>
          <w:rFonts w:ascii="Garamond" w:hAnsi="Garamond" w:cs="Garamond"/>
          <w:sz w:val="24"/>
          <w:szCs w:val="24"/>
        </w:rPr>
      </w:pPr>
      <w:r>
        <w:rPr>
          <w:rFonts w:ascii="Garamond" w:hAnsi="Garamond" w:cs="Garamond"/>
          <w:sz w:val="24"/>
          <w:szCs w:val="24"/>
        </w:rPr>
        <w:t xml:space="preserve">Si sono introdotte </w:t>
      </w:r>
      <w:r w:rsidR="00630C8D">
        <w:rPr>
          <w:rFonts w:ascii="Garamond" w:hAnsi="Garamond" w:cs="Garamond"/>
          <w:sz w:val="24"/>
          <w:szCs w:val="24"/>
        </w:rPr>
        <w:t xml:space="preserve">anche qui le clausole imposte dalla normativa per la ricostruzione post-sisma </w:t>
      </w:r>
      <w:r w:rsidR="004200AC">
        <w:rPr>
          <w:rFonts w:ascii="Garamond" w:hAnsi="Garamond" w:cs="Garamond"/>
          <w:sz w:val="24"/>
          <w:szCs w:val="24"/>
        </w:rPr>
        <w:t xml:space="preserve">già </w:t>
      </w:r>
      <w:r w:rsidR="00630C8D">
        <w:rPr>
          <w:rFonts w:ascii="Garamond" w:hAnsi="Garamond" w:cs="Garamond"/>
          <w:sz w:val="24"/>
          <w:szCs w:val="24"/>
        </w:rPr>
        <w:t>sopra evidenziate</w:t>
      </w:r>
      <w:r w:rsidR="00B41F27">
        <w:rPr>
          <w:rFonts w:ascii="Garamond" w:hAnsi="Garamond" w:cs="Garamond"/>
          <w:sz w:val="24"/>
          <w:szCs w:val="24"/>
        </w:rPr>
        <w:t>.</w:t>
      </w:r>
    </w:p>
    <w:p w:rsidR="00B41F27" w:rsidRDefault="00B41F27" w:rsidP="006A7FB1">
      <w:pPr>
        <w:spacing w:after="0" w:line="240" w:lineRule="auto"/>
        <w:ind w:right="-17"/>
        <w:jc w:val="both"/>
        <w:rPr>
          <w:rFonts w:ascii="Garamond" w:hAnsi="Garamond" w:cs="Garamond"/>
          <w:sz w:val="24"/>
          <w:szCs w:val="24"/>
        </w:rPr>
      </w:pPr>
    </w:p>
    <w:p w:rsidR="00B41F27" w:rsidRPr="00B41F27" w:rsidRDefault="00B41F27" w:rsidP="006A7FB1">
      <w:pPr>
        <w:spacing w:after="0" w:line="240" w:lineRule="auto"/>
        <w:ind w:right="-17"/>
        <w:jc w:val="both"/>
        <w:rPr>
          <w:rFonts w:ascii="Garamond" w:eastAsia="Times New Roman" w:hAnsi="Garamond"/>
          <w:bCs/>
          <w:sz w:val="24"/>
          <w:szCs w:val="24"/>
        </w:rPr>
      </w:pPr>
      <w:r>
        <w:rPr>
          <w:rFonts w:ascii="Garamond" w:hAnsi="Garamond" w:cs="Garamond"/>
          <w:sz w:val="24"/>
          <w:szCs w:val="24"/>
        </w:rPr>
        <w:t>Lo schema di disciplinare è contenuto in file separato</w:t>
      </w:r>
      <w:r w:rsidR="00946877">
        <w:rPr>
          <w:rFonts w:ascii="Garamond" w:hAnsi="Garamond" w:cs="Garamond"/>
          <w:sz w:val="24"/>
          <w:szCs w:val="24"/>
        </w:rPr>
        <w:t>, ove sono evidenziate in giallo le parti che si è ritenuto di aggiungere</w:t>
      </w:r>
      <w:r w:rsidR="00B114AF">
        <w:rPr>
          <w:rFonts w:ascii="Garamond" w:hAnsi="Garamond" w:cs="Garamond"/>
          <w:sz w:val="24"/>
          <w:szCs w:val="24"/>
        </w:rPr>
        <w:t>/modificare</w:t>
      </w:r>
      <w:r w:rsidR="00946877">
        <w:rPr>
          <w:rFonts w:ascii="Garamond" w:hAnsi="Garamond" w:cs="Garamond"/>
          <w:sz w:val="24"/>
          <w:szCs w:val="24"/>
        </w:rPr>
        <w:t xml:space="preserve"> rispetto al bando tipo e quelle che si ritiene debbano essere espunte (barrate)</w:t>
      </w:r>
      <w:r>
        <w:rPr>
          <w:rFonts w:ascii="Garamond" w:hAnsi="Garamond" w:cs="Garamond"/>
          <w:sz w:val="24"/>
          <w:szCs w:val="24"/>
        </w:rPr>
        <w:t>.</w:t>
      </w:r>
    </w:p>
    <w:sectPr w:rsidR="00B41F27" w:rsidRPr="00B41F2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ACD" w:rsidRDefault="00536ACD" w:rsidP="006D70A0">
      <w:pPr>
        <w:spacing w:after="0" w:line="240" w:lineRule="auto"/>
      </w:pPr>
      <w:r>
        <w:separator/>
      </w:r>
    </w:p>
  </w:endnote>
  <w:endnote w:type="continuationSeparator" w:id="0">
    <w:p w:rsidR="00536ACD" w:rsidRDefault="00536ACD" w:rsidP="006D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ACD" w:rsidRDefault="00536ACD" w:rsidP="006D70A0">
      <w:pPr>
        <w:spacing w:after="0" w:line="240" w:lineRule="auto"/>
      </w:pPr>
      <w:r>
        <w:separator/>
      </w:r>
    </w:p>
  </w:footnote>
  <w:footnote w:type="continuationSeparator" w:id="0">
    <w:p w:rsidR="00536ACD" w:rsidRDefault="00536ACD" w:rsidP="006D70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A61F6"/>
    <w:multiLevelType w:val="hybridMultilevel"/>
    <w:tmpl w:val="0D8023B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D338F5"/>
    <w:multiLevelType w:val="hybridMultilevel"/>
    <w:tmpl w:val="79261676"/>
    <w:lvl w:ilvl="0" w:tplc="DF708832">
      <w:start w:val="2"/>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3E600CE"/>
    <w:multiLevelType w:val="hybridMultilevel"/>
    <w:tmpl w:val="CB68E0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F716CCC"/>
    <w:multiLevelType w:val="hybridMultilevel"/>
    <w:tmpl w:val="F41218F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15"/>
    <w:rsid w:val="00002CED"/>
    <w:rsid w:val="00021515"/>
    <w:rsid w:val="00021568"/>
    <w:rsid w:val="00036621"/>
    <w:rsid w:val="000439B5"/>
    <w:rsid w:val="00046768"/>
    <w:rsid w:val="00070E0E"/>
    <w:rsid w:val="000837D4"/>
    <w:rsid w:val="0009112D"/>
    <w:rsid w:val="000B43A7"/>
    <w:rsid w:val="000D3A44"/>
    <w:rsid w:val="000D472D"/>
    <w:rsid w:val="000D75C6"/>
    <w:rsid w:val="000E15FF"/>
    <w:rsid w:val="000E201E"/>
    <w:rsid w:val="000E2BB2"/>
    <w:rsid w:val="000E5BA0"/>
    <w:rsid w:val="00112F16"/>
    <w:rsid w:val="00150659"/>
    <w:rsid w:val="0016540F"/>
    <w:rsid w:val="0016687F"/>
    <w:rsid w:val="0018509F"/>
    <w:rsid w:val="00195EFC"/>
    <w:rsid w:val="001A6F4A"/>
    <w:rsid w:val="001F0707"/>
    <w:rsid w:val="001F2F1D"/>
    <w:rsid w:val="001F59A4"/>
    <w:rsid w:val="00200034"/>
    <w:rsid w:val="002114A6"/>
    <w:rsid w:val="00211A91"/>
    <w:rsid w:val="00235CB0"/>
    <w:rsid w:val="00251468"/>
    <w:rsid w:val="0029628D"/>
    <w:rsid w:val="002A1BBA"/>
    <w:rsid w:val="002B1F33"/>
    <w:rsid w:val="002C0A54"/>
    <w:rsid w:val="002C69FE"/>
    <w:rsid w:val="002D1E17"/>
    <w:rsid w:val="002F1309"/>
    <w:rsid w:val="002F65BB"/>
    <w:rsid w:val="00301748"/>
    <w:rsid w:val="0038656E"/>
    <w:rsid w:val="003C2D77"/>
    <w:rsid w:val="003E792D"/>
    <w:rsid w:val="004048CA"/>
    <w:rsid w:val="0040798F"/>
    <w:rsid w:val="00412D39"/>
    <w:rsid w:val="004136E3"/>
    <w:rsid w:val="004200AC"/>
    <w:rsid w:val="00453DB3"/>
    <w:rsid w:val="0047694C"/>
    <w:rsid w:val="004B5C38"/>
    <w:rsid w:val="004C1DC3"/>
    <w:rsid w:val="004C5B4B"/>
    <w:rsid w:val="004D0D88"/>
    <w:rsid w:val="004F480C"/>
    <w:rsid w:val="0051011B"/>
    <w:rsid w:val="00511C7E"/>
    <w:rsid w:val="00536ACD"/>
    <w:rsid w:val="00590EF7"/>
    <w:rsid w:val="005B17A7"/>
    <w:rsid w:val="005E431F"/>
    <w:rsid w:val="00601410"/>
    <w:rsid w:val="00602F4C"/>
    <w:rsid w:val="00630C8D"/>
    <w:rsid w:val="00645038"/>
    <w:rsid w:val="006555D7"/>
    <w:rsid w:val="00670752"/>
    <w:rsid w:val="006735B8"/>
    <w:rsid w:val="00676595"/>
    <w:rsid w:val="0069396D"/>
    <w:rsid w:val="00693F49"/>
    <w:rsid w:val="006A0726"/>
    <w:rsid w:val="006A7FB1"/>
    <w:rsid w:val="006B3564"/>
    <w:rsid w:val="006C3D09"/>
    <w:rsid w:val="006C4214"/>
    <w:rsid w:val="006D2810"/>
    <w:rsid w:val="006D70A0"/>
    <w:rsid w:val="006E21B1"/>
    <w:rsid w:val="006E243E"/>
    <w:rsid w:val="006E36A2"/>
    <w:rsid w:val="00716D11"/>
    <w:rsid w:val="00724E70"/>
    <w:rsid w:val="0073051B"/>
    <w:rsid w:val="007523AF"/>
    <w:rsid w:val="00776697"/>
    <w:rsid w:val="00781856"/>
    <w:rsid w:val="007838D4"/>
    <w:rsid w:val="00784532"/>
    <w:rsid w:val="00787B0E"/>
    <w:rsid w:val="007A3D94"/>
    <w:rsid w:val="007A4C16"/>
    <w:rsid w:val="007B5E5A"/>
    <w:rsid w:val="007D1BFE"/>
    <w:rsid w:val="007E4DBF"/>
    <w:rsid w:val="007F548B"/>
    <w:rsid w:val="007F6AB7"/>
    <w:rsid w:val="008041A4"/>
    <w:rsid w:val="0080429B"/>
    <w:rsid w:val="00811868"/>
    <w:rsid w:val="00811A98"/>
    <w:rsid w:val="00830256"/>
    <w:rsid w:val="00856E7D"/>
    <w:rsid w:val="00874766"/>
    <w:rsid w:val="00874926"/>
    <w:rsid w:val="008825A4"/>
    <w:rsid w:val="008B0CD9"/>
    <w:rsid w:val="008D7A48"/>
    <w:rsid w:val="008E53E6"/>
    <w:rsid w:val="008E5CDA"/>
    <w:rsid w:val="00905132"/>
    <w:rsid w:val="00911CFE"/>
    <w:rsid w:val="00946877"/>
    <w:rsid w:val="0097488E"/>
    <w:rsid w:val="0098481A"/>
    <w:rsid w:val="0098798A"/>
    <w:rsid w:val="00991068"/>
    <w:rsid w:val="009A4D48"/>
    <w:rsid w:val="009B74CC"/>
    <w:rsid w:val="009E7B72"/>
    <w:rsid w:val="00A00DC2"/>
    <w:rsid w:val="00A13BDE"/>
    <w:rsid w:val="00A267D3"/>
    <w:rsid w:val="00A30E75"/>
    <w:rsid w:val="00A666E9"/>
    <w:rsid w:val="00A679BB"/>
    <w:rsid w:val="00A7086F"/>
    <w:rsid w:val="00A85875"/>
    <w:rsid w:val="00A90610"/>
    <w:rsid w:val="00A95CED"/>
    <w:rsid w:val="00AB53FF"/>
    <w:rsid w:val="00AC11BC"/>
    <w:rsid w:val="00AD4F08"/>
    <w:rsid w:val="00AE5994"/>
    <w:rsid w:val="00AF131E"/>
    <w:rsid w:val="00B02932"/>
    <w:rsid w:val="00B114AF"/>
    <w:rsid w:val="00B34D69"/>
    <w:rsid w:val="00B41CC4"/>
    <w:rsid w:val="00B41F27"/>
    <w:rsid w:val="00B474A7"/>
    <w:rsid w:val="00B62EF2"/>
    <w:rsid w:val="00B6639D"/>
    <w:rsid w:val="00BC26C7"/>
    <w:rsid w:val="00BC724D"/>
    <w:rsid w:val="00BE203B"/>
    <w:rsid w:val="00BF6479"/>
    <w:rsid w:val="00C15372"/>
    <w:rsid w:val="00C25C6E"/>
    <w:rsid w:val="00C3093C"/>
    <w:rsid w:val="00C3389C"/>
    <w:rsid w:val="00C36684"/>
    <w:rsid w:val="00C54189"/>
    <w:rsid w:val="00C63101"/>
    <w:rsid w:val="00C80E17"/>
    <w:rsid w:val="00C84D8D"/>
    <w:rsid w:val="00CA567F"/>
    <w:rsid w:val="00CA6446"/>
    <w:rsid w:val="00CB3942"/>
    <w:rsid w:val="00CC0140"/>
    <w:rsid w:val="00CC7C7A"/>
    <w:rsid w:val="00CF6F90"/>
    <w:rsid w:val="00D03D08"/>
    <w:rsid w:val="00D16961"/>
    <w:rsid w:val="00D262C4"/>
    <w:rsid w:val="00D359B5"/>
    <w:rsid w:val="00D37CE4"/>
    <w:rsid w:val="00D653B9"/>
    <w:rsid w:val="00D725A9"/>
    <w:rsid w:val="00D76E32"/>
    <w:rsid w:val="00DA0C15"/>
    <w:rsid w:val="00DC1D98"/>
    <w:rsid w:val="00DE3C28"/>
    <w:rsid w:val="00DE7E30"/>
    <w:rsid w:val="00E208EE"/>
    <w:rsid w:val="00E27B4F"/>
    <w:rsid w:val="00E37766"/>
    <w:rsid w:val="00E40072"/>
    <w:rsid w:val="00E4158A"/>
    <w:rsid w:val="00E46275"/>
    <w:rsid w:val="00E62B4A"/>
    <w:rsid w:val="00E768B1"/>
    <w:rsid w:val="00EA2C3A"/>
    <w:rsid w:val="00EB00D3"/>
    <w:rsid w:val="00EB0337"/>
    <w:rsid w:val="00ED6520"/>
    <w:rsid w:val="00EF4CD5"/>
    <w:rsid w:val="00EF7AD1"/>
    <w:rsid w:val="00EF7BAB"/>
    <w:rsid w:val="00F10DB1"/>
    <w:rsid w:val="00F41621"/>
    <w:rsid w:val="00F72650"/>
    <w:rsid w:val="00F858F1"/>
    <w:rsid w:val="00FB1FE8"/>
    <w:rsid w:val="00FE12F8"/>
    <w:rsid w:val="00FF0C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BD49C-E8B9-44E8-8655-4F2D9759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84D8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84D8D"/>
    <w:rPr>
      <w:color w:val="0000FF"/>
      <w:u w:val="single"/>
    </w:rPr>
  </w:style>
  <w:style w:type="paragraph" w:customStyle="1" w:styleId="Default">
    <w:name w:val="Default"/>
    <w:rsid w:val="004048CA"/>
    <w:pPr>
      <w:autoSpaceDE w:val="0"/>
      <w:autoSpaceDN w:val="0"/>
      <w:adjustRightInd w:val="0"/>
      <w:spacing w:after="0" w:line="240" w:lineRule="auto"/>
    </w:pPr>
    <w:rPr>
      <w:rFonts w:ascii="Garamond" w:hAnsi="Garamond" w:cs="Garamond"/>
      <w:color w:val="000000"/>
      <w:sz w:val="24"/>
      <w:szCs w:val="24"/>
    </w:rPr>
  </w:style>
  <w:style w:type="paragraph" w:styleId="Testonotaapidipagina">
    <w:name w:val="footnote text"/>
    <w:basedOn w:val="Normale"/>
    <w:link w:val="TestonotaapidipaginaCarattere"/>
    <w:uiPriority w:val="99"/>
    <w:unhideWhenUsed/>
    <w:rsid w:val="006D70A0"/>
    <w:pPr>
      <w:widowControl w:val="0"/>
      <w:spacing w:after="0" w:line="240" w:lineRule="auto"/>
    </w:pPr>
    <w:rPr>
      <w:rFonts w:ascii="Calibri" w:eastAsia="Calibri" w:hAnsi="Calibri" w:cs="Times New Roman"/>
      <w:sz w:val="24"/>
      <w:szCs w:val="24"/>
      <w:lang w:val="en-US"/>
    </w:rPr>
  </w:style>
  <w:style w:type="character" w:customStyle="1" w:styleId="TestonotaapidipaginaCarattere">
    <w:name w:val="Testo nota a piè di pagina Carattere"/>
    <w:basedOn w:val="Carpredefinitoparagrafo"/>
    <w:link w:val="Testonotaapidipagina"/>
    <w:uiPriority w:val="99"/>
    <w:rsid w:val="006D70A0"/>
    <w:rPr>
      <w:rFonts w:ascii="Calibri" w:eastAsia="Calibri" w:hAnsi="Calibri" w:cs="Times New Roman"/>
      <w:sz w:val="24"/>
      <w:szCs w:val="24"/>
      <w:lang w:val="en-US"/>
    </w:rPr>
  </w:style>
  <w:style w:type="character" w:styleId="Rimandonotaapidipagina">
    <w:name w:val="footnote reference"/>
    <w:uiPriority w:val="99"/>
    <w:unhideWhenUsed/>
    <w:rsid w:val="006D70A0"/>
    <w:rPr>
      <w:vertAlign w:val="superscript"/>
    </w:rPr>
  </w:style>
  <w:style w:type="paragraph" w:styleId="Paragrafoelenco">
    <w:name w:val="List Paragraph"/>
    <w:basedOn w:val="Normale"/>
    <w:uiPriority w:val="34"/>
    <w:qFormat/>
    <w:rsid w:val="00E37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821736">
      <w:bodyDiv w:val="1"/>
      <w:marLeft w:val="0"/>
      <w:marRight w:val="0"/>
      <w:marTop w:val="0"/>
      <w:marBottom w:val="0"/>
      <w:divBdr>
        <w:top w:val="none" w:sz="0" w:space="0" w:color="auto"/>
        <w:left w:val="none" w:sz="0" w:space="0" w:color="auto"/>
        <w:bottom w:val="none" w:sz="0" w:space="0" w:color="auto"/>
        <w:right w:val="none" w:sz="0" w:space="0" w:color="auto"/>
      </w:divBdr>
      <w:divsChild>
        <w:div w:id="310603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0290496">
      <w:bodyDiv w:val="1"/>
      <w:marLeft w:val="0"/>
      <w:marRight w:val="0"/>
      <w:marTop w:val="0"/>
      <w:marBottom w:val="0"/>
      <w:divBdr>
        <w:top w:val="none" w:sz="0" w:space="0" w:color="auto"/>
        <w:left w:val="none" w:sz="0" w:space="0" w:color="auto"/>
        <w:bottom w:val="none" w:sz="0" w:space="0" w:color="auto"/>
        <w:right w:val="none" w:sz="0" w:space="0" w:color="auto"/>
      </w:divBdr>
      <w:divsChild>
        <w:div w:id="1897277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86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B2588-D49E-48B3-B89D-C1E87D689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7222</Words>
  <Characters>41166</Characters>
  <Application>Microsoft Office Word</Application>
  <DocSecurity>4</DocSecurity>
  <Lines>343</Lines>
  <Paragraphs>96</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48292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Mercuri</dc:creator>
  <cp:keywords/>
  <dc:description/>
  <cp:lastModifiedBy>Michele Prencipe</cp:lastModifiedBy>
  <cp:revision>2</cp:revision>
  <dcterms:created xsi:type="dcterms:W3CDTF">2018-04-17T11:21:00Z</dcterms:created>
  <dcterms:modified xsi:type="dcterms:W3CDTF">2018-04-17T11:21:00Z</dcterms:modified>
</cp:coreProperties>
</file>