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41" w:rsidRPr="00B86A41" w:rsidRDefault="00B86A41" w:rsidP="00B86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art67"/>
      <w:r w:rsidRPr="00B86A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67 </w:t>
      </w:r>
      <w:bookmarkEnd w:id="0"/>
      <w:r w:rsidRPr="00B86A4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86A4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(Controlli interni)</w:t>
      </w:r>
    </w:p>
    <w:p w:rsidR="00B86A41" w:rsidRPr="00B86A41" w:rsidRDefault="00B86A41" w:rsidP="00B8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6A41" w:rsidRPr="00B86A41" w:rsidRDefault="00B86A41" w:rsidP="00B86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A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La Regione struttura un sistema di controlli interni conformandosi alle norme del </w:t>
      </w:r>
      <w:hyperlink r:id="rId5" w:history="1">
        <w:r w:rsidRPr="00B86A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d.lgs. 30 luglio 1999, n. 286</w:t>
        </w:r>
      </w:hyperlink>
      <w:r w:rsidRPr="00B86A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concernente: “Riordino e potenziamento dei meccanismi e strumenti di monitoraggio e valutazione dei costi, dei rendimenti e dei risultati dell'attività svolta dalle Amministrazioni pubbliche, a norma dell'</w:t>
      </w:r>
      <w:hyperlink r:id="rId6" w:history="1">
        <w:r w:rsidRPr="00B86A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articolo 11 della legge 15 marzo 1997, n. 59</w:t>
        </w:r>
      </w:hyperlink>
      <w:r w:rsidRPr="00B86A41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B86A41" w:rsidRPr="00B86A41" w:rsidRDefault="00B86A41" w:rsidP="00B86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6A41">
        <w:rPr>
          <w:rFonts w:ascii="Times New Roman" w:eastAsia="Times New Roman" w:hAnsi="Times New Roman" w:cs="Times New Roman"/>
          <w:sz w:val="24"/>
          <w:szCs w:val="24"/>
          <w:lang w:eastAsia="it-IT"/>
        </w:rPr>
        <w:t>2. A tal fine l'assetto organizzativo, l'impianto metodologico e gli strumenti operativi del controllo interno sono rivolti a:</w:t>
      </w:r>
      <w:r w:rsidRPr="00B86A4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garantire la legittimità, la regolarità e correttezza dell'azione amministrativa (controllo di regolarità amministrativa contabile);</w:t>
      </w:r>
      <w:r w:rsidRPr="00B86A4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strutturare un sistema di analisi e monitoraggio per la verifica dell'efficacia, dell'efficienza e dell'economicità dell'azione amministrativa, al fine di ottimizzare, anche mediante tempestivi interventi di correzione, il rapporto tra i costi e i risultati (controllo di gestione);</w:t>
      </w:r>
      <w:r w:rsidRPr="00B86A4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c) utilizzare la strumentazione tecnica e metodologica disponibile in ordine alla valutazione della prestazione del personale con qualifica dirigenziale (valutazione della dirigenza);</w:t>
      </w:r>
      <w:r w:rsidRPr="00B86A4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d) coadiuvare la Giunta regionale nell'attività di elaborazione degli atti di indirizzo politico e delle direttive, mediante la valutazione dell'adeguatezza delle scelte compiute in sede di attuazione dei piani, programmi e progetti di intervento, in termini di congruenza tra i risultati conseguiti e gli obiettivi predefiniti (valutazione controllo strategico).</w:t>
      </w:r>
    </w:p>
    <w:p w:rsidR="00EE75AC" w:rsidRDefault="00EE75AC">
      <w:bookmarkStart w:id="1" w:name="_GoBack"/>
      <w:bookmarkEnd w:id="1"/>
    </w:p>
    <w:sectPr w:rsidR="00EE7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41"/>
    <w:rsid w:val="00B86A41"/>
    <w:rsid w:val="00E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86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86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6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mattiva.it/uri-res/N2Ls?urn:nir:stato:legge:1997-03-15;59&amp;art=11" TargetMode="External"/><Relationship Id="rId5" Type="http://schemas.openxmlformats.org/officeDocument/2006/relationships/hyperlink" Target="http://www.normattiva.it/uri-res/N2Ls?urn:nir:stato:decreto.legislativo:1999-07-30;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Mori</dc:creator>
  <cp:lastModifiedBy>Cristiana Mori</cp:lastModifiedBy>
  <cp:revision>1</cp:revision>
  <dcterms:created xsi:type="dcterms:W3CDTF">2014-04-17T10:34:00Z</dcterms:created>
  <dcterms:modified xsi:type="dcterms:W3CDTF">2014-04-17T10:35:00Z</dcterms:modified>
</cp:coreProperties>
</file>