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63" w:rsidRDefault="0051126D" w:rsidP="0051126D">
      <w:pPr>
        <w:jc w:val="right"/>
        <w:rPr>
          <w:rFonts w:ascii="Palatino Linotype" w:hAnsi="Palatino Linotype" w:cs="Palatino Linotype"/>
          <w:b/>
          <w:bCs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3 - </w:t>
      </w:r>
      <w:r w:rsidR="00024E63" w:rsidRPr="0051126D">
        <w:rPr>
          <w:rFonts w:ascii="Palatino Linotype" w:hAnsi="Palatino Linotype" w:cs="Palatino Linotype"/>
          <w:b/>
          <w:bCs/>
          <w:sz w:val="28"/>
          <w:szCs w:val="28"/>
        </w:rPr>
        <w:t>Li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nee guida per la rendicontazione </w:t>
      </w:r>
      <w:r w:rsidR="00024E63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="00024E63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="00024E63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="00024E63">
        <w:rPr>
          <w:rFonts w:ascii="Palatino Linotype" w:hAnsi="Palatino Linotype" w:cs="Palatino Linotype"/>
          <w:b/>
          <w:bCs/>
          <w:sz w:val="28"/>
          <w:szCs w:val="28"/>
        </w:rPr>
        <w:tab/>
      </w:r>
    </w:p>
    <w:p w:rsidR="0051126D" w:rsidRPr="0051126D" w:rsidRDefault="0051126D" w:rsidP="0051126D">
      <w:pPr>
        <w:jc w:val="center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 w:rsidRPr="0051126D">
        <w:rPr>
          <w:b/>
          <w:sz w:val="24"/>
          <w:szCs w:val="24"/>
          <w:u w:val="single"/>
        </w:rPr>
        <w:t>Attuazione LR n.34/2017 –Tabella C</w:t>
      </w:r>
      <w:r w:rsidR="00EE7301">
        <w:rPr>
          <w:b/>
          <w:sz w:val="24"/>
          <w:szCs w:val="24"/>
          <w:u w:val="single"/>
        </w:rPr>
        <w:t xml:space="preserve"> come confermata con L.R. 39/2017</w:t>
      </w:r>
    </w:p>
    <w:p w:rsidR="0051126D" w:rsidRDefault="0051126D" w:rsidP="009F0921">
      <w:pPr>
        <w:shd w:val="clear" w:color="auto" w:fill="FFFFFF"/>
        <w:spacing w:before="100"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C079F1" w:rsidRPr="009F0921" w:rsidRDefault="009F0921" w:rsidP="009F0921">
      <w:pPr>
        <w:shd w:val="clear" w:color="auto" w:fill="FFFFFF"/>
        <w:spacing w:before="100"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A</w:t>
      </w:r>
      <w:r w:rsidR="00024E63" w:rsidRPr="009F0921">
        <w:rPr>
          <w:rFonts w:ascii="Palatino Linotype" w:hAnsi="Palatino Linotype"/>
          <w:b/>
          <w:sz w:val="24"/>
          <w:szCs w:val="24"/>
          <w:u w:val="single"/>
        </w:rPr>
        <w:t>mmissibilità delle spese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e documentazione</w:t>
      </w:r>
    </w:p>
    <w:p w:rsidR="0051126D" w:rsidRDefault="0051126D" w:rsidP="0051126D">
      <w:pPr>
        <w:shd w:val="clear" w:color="auto" w:fill="FFFFFF"/>
        <w:spacing w:before="100"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24E63" w:rsidRPr="00C079F1" w:rsidRDefault="0051126D" w:rsidP="0051126D">
      <w:pPr>
        <w:shd w:val="clear" w:color="auto" w:fill="FFFFFF"/>
        <w:spacing w:before="100"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024E63" w:rsidRPr="00C079F1">
        <w:rPr>
          <w:rFonts w:ascii="Palatino Linotype" w:hAnsi="Palatino Linotype"/>
          <w:sz w:val="24"/>
          <w:szCs w:val="24"/>
        </w:rPr>
        <w:t>n costo, per essere ammissibile</w:t>
      </w:r>
      <w:r w:rsidR="00C079F1">
        <w:rPr>
          <w:rFonts w:ascii="Palatino Linotype" w:hAnsi="Palatino Linotype"/>
          <w:sz w:val="24"/>
          <w:szCs w:val="24"/>
        </w:rPr>
        <w:t>,</w:t>
      </w:r>
      <w:r w:rsidR="00024E63" w:rsidRPr="00C079F1">
        <w:rPr>
          <w:rFonts w:ascii="Palatino Linotype" w:hAnsi="Palatino Linotype"/>
          <w:sz w:val="24"/>
          <w:szCs w:val="24"/>
        </w:rPr>
        <w:t xml:space="preserve"> deve:</w:t>
      </w:r>
    </w:p>
    <w:p w:rsidR="00024E63" w:rsidRPr="00C079F1" w:rsidRDefault="00024E63" w:rsidP="00024E63">
      <w:pPr>
        <w:spacing w:before="100" w:beforeAutospacing="1"/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 xml:space="preserve">- </w:t>
      </w:r>
      <w:r w:rsidRPr="00C079F1">
        <w:rPr>
          <w:rFonts w:ascii="Palatino Linotype" w:hAnsi="Palatino Linotype"/>
          <w:b/>
          <w:sz w:val="24"/>
          <w:szCs w:val="24"/>
        </w:rPr>
        <w:t>essere pertinente e imputabile</w:t>
      </w:r>
      <w:r w:rsidRPr="00C079F1">
        <w:rPr>
          <w:rFonts w:ascii="Palatino Linotype" w:hAnsi="Palatino Linotype"/>
          <w:sz w:val="24"/>
          <w:szCs w:val="24"/>
        </w:rPr>
        <w:t xml:space="preserve">, direttamente o indirettamente, alle </w:t>
      </w:r>
      <w:r w:rsidR="00C079F1">
        <w:rPr>
          <w:rFonts w:ascii="Palatino Linotype" w:hAnsi="Palatino Linotype"/>
          <w:sz w:val="24"/>
          <w:szCs w:val="24"/>
        </w:rPr>
        <w:t>attività svolte</w:t>
      </w:r>
      <w:r w:rsidRPr="00C079F1">
        <w:rPr>
          <w:rFonts w:ascii="Palatino Linotype" w:hAnsi="Palatino Linotype"/>
          <w:sz w:val="24"/>
          <w:szCs w:val="24"/>
        </w:rPr>
        <w:t xml:space="preserve"> dai beneficiari, ovvero riferirsi ad operazioni </w:t>
      </w:r>
      <w:r w:rsidR="00C079F1">
        <w:rPr>
          <w:rFonts w:ascii="Palatino Linotype" w:hAnsi="Palatino Linotype"/>
          <w:sz w:val="24"/>
          <w:szCs w:val="24"/>
        </w:rPr>
        <w:t xml:space="preserve"> </w:t>
      </w:r>
      <w:r w:rsidRPr="00C079F1">
        <w:rPr>
          <w:rFonts w:ascii="Palatino Linotype" w:hAnsi="Palatino Linotype"/>
          <w:sz w:val="24"/>
          <w:szCs w:val="24"/>
        </w:rPr>
        <w:t xml:space="preserve"> riconducibili alle attività ammissibili;</w:t>
      </w:r>
    </w:p>
    <w:p w:rsidR="00024E63" w:rsidRPr="00C079F1" w:rsidRDefault="00024E63" w:rsidP="00024E63">
      <w:pPr>
        <w:spacing w:before="100" w:beforeAutospacing="1"/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 xml:space="preserve">- </w:t>
      </w:r>
      <w:r w:rsidRPr="00C079F1">
        <w:rPr>
          <w:rFonts w:ascii="Palatino Linotype" w:hAnsi="Palatino Linotype"/>
          <w:b/>
          <w:sz w:val="24"/>
          <w:szCs w:val="24"/>
        </w:rPr>
        <w:t>essere reale effettivamente sostenuto e contabilizzato</w:t>
      </w:r>
      <w:r w:rsidRPr="00C079F1">
        <w:rPr>
          <w:rFonts w:ascii="Palatino Linotype" w:hAnsi="Palatino Linotype"/>
          <w:sz w:val="24"/>
          <w:szCs w:val="24"/>
        </w:rPr>
        <w:t xml:space="preserve">, </w:t>
      </w:r>
      <w:r w:rsidR="00C079F1">
        <w:rPr>
          <w:rFonts w:ascii="Palatino Linotype" w:hAnsi="Palatino Linotype"/>
          <w:sz w:val="24"/>
          <w:szCs w:val="24"/>
        </w:rPr>
        <w:t>cioè</w:t>
      </w:r>
      <w:r w:rsidRPr="00C079F1">
        <w:rPr>
          <w:rFonts w:ascii="Palatino Linotype" w:hAnsi="Palatino Linotype"/>
          <w:sz w:val="24"/>
          <w:szCs w:val="24"/>
        </w:rPr>
        <w:t xml:space="preserve"> le spese devono essere state effettivamente pagate dai beneficiari nell’attuazione delle </w:t>
      </w:r>
      <w:r w:rsidR="00C079F1">
        <w:rPr>
          <w:rFonts w:ascii="Palatino Linotype" w:hAnsi="Palatino Linotype"/>
          <w:sz w:val="24"/>
          <w:szCs w:val="24"/>
        </w:rPr>
        <w:t>attività</w:t>
      </w:r>
      <w:r w:rsidRPr="00C079F1">
        <w:rPr>
          <w:rFonts w:ascii="Palatino Linotype" w:hAnsi="Palatino Linotype"/>
          <w:sz w:val="24"/>
          <w:szCs w:val="24"/>
        </w:rPr>
        <w:t xml:space="preserve"> e aver dato luogo a registrazioni contabili in conformità </w:t>
      </w:r>
      <w:r w:rsidR="00C079F1">
        <w:rPr>
          <w:rFonts w:ascii="Palatino Linotype" w:hAnsi="Palatino Linotype"/>
          <w:sz w:val="24"/>
          <w:szCs w:val="24"/>
        </w:rPr>
        <w:t>al</w:t>
      </w:r>
      <w:r w:rsidRPr="00C079F1">
        <w:rPr>
          <w:rFonts w:ascii="Palatino Linotype" w:hAnsi="Palatino Linotype"/>
          <w:sz w:val="24"/>
          <w:szCs w:val="24"/>
        </w:rPr>
        <w:t>le disposizioni normative, ai principi contabili nonché alle specifiche prescrizioni in materia;</w:t>
      </w:r>
    </w:p>
    <w:p w:rsidR="00024E63" w:rsidRPr="00C079F1" w:rsidRDefault="00024E63" w:rsidP="00C079F1">
      <w:pPr>
        <w:spacing w:before="100" w:beforeAutospacing="1"/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 xml:space="preserve">- </w:t>
      </w:r>
      <w:r w:rsidRPr="00C079F1">
        <w:rPr>
          <w:rFonts w:ascii="Palatino Linotype" w:hAnsi="Palatino Linotype"/>
          <w:b/>
          <w:sz w:val="24"/>
          <w:szCs w:val="24"/>
        </w:rPr>
        <w:t>essere giustificato da documenti fiscalmente validi</w:t>
      </w:r>
      <w:r w:rsidRPr="00C079F1">
        <w:rPr>
          <w:rFonts w:ascii="Palatino Linotype" w:hAnsi="Palatino Linotype"/>
          <w:sz w:val="24"/>
          <w:szCs w:val="24"/>
        </w:rPr>
        <w:t xml:space="preserve"> (fatture quietanzate, nota di debito con ritenuta </w:t>
      </w:r>
      <w:r w:rsidR="00C079F1">
        <w:rPr>
          <w:rFonts w:ascii="Palatino Linotype" w:hAnsi="Palatino Linotype"/>
          <w:sz w:val="24"/>
          <w:szCs w:val="24"/>
        </w:rPr>
        <w:t xml:space="preserve">di </w:t>
      </w:r>
      <w:r w:rsidRPr="00C079F1">
        <w:rPr>
          <w:rFonts w:ascii="Palatino Linotype" w:hAnsi="Palatino Linotype"/>
          <w:sz w:val="24"/>
          <w:szCs w:val="24"/>
        </w:rPr>
        <w:t>acconto, scontrini e ricevute fiscali);</w:t>
      </w:r>
      <w:r w:rsidR="00C079F1">
        <w:rPr>
          <w:rFonts w:ascii="Palatino Linotype" w:hAnsi="Palatino Linotype"/>
          <w:sz w:val="24"/>
          <w:szCs w:val="24"/>
        </w:rPr>
        <w:t xml:space="preserve"> </w:t>
      </w:r>
      <w:r w:rsidRPr="00C079F1">
        <w:rPr>
          <w:rFonts w:ascii="Palatino Linotype" w:hAnsi="Palatino Linotype"/>
          <w:sz w:val="24"/>
          <w:szCs w:val="24"/>
        </w:rPr>
        <w:t>la quietanza può essere dimostrata anche da documenti contabili di valore probatorio equivalente (ricevuta di conto corrente postale; estratto conto per i pagamenti effettuati tramite as</w:t>
      </w:r>
      <w:r w:rsidR="00C079F1">
        <w:rPr>
          <w:rFonts w:ascii="Palatino Linotype" w:hAnsi="Palatino Linotype"/>
          <w:sz w:val="24"/>
          <w:szCs w:val="24"/>
        </w:rPr>
        <w:t>segni circolari/bancari/postali;</w:t>
      </w:r>
      <w:r w:rsidRPr="00C079F1">
        <w:rPr>
          <w:rFonts w:ascii="Palatino Linotype" w:hAnsi="Palatino Linotype"/>
          <w:sz w:val="24"/>
          <w:szCs w:val="24"/>
        </w:rPr>
        <w:t xml:space="preserve"> dichiarazione di quietanza sottoscritta dall’interessato; bonifico bancario/postale).</w:t>
      </w:r>
    </w:p>
    <w:p w:rsidR="00C079F1" w:rsidRDefault="00024E63" w:rsidP="00C079F1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  <w:u w:val="single"/>
        </w:rPr>
        <w:t>Non sono considerati ammissibili</w:t>
      </w:r>
      <w:r w:rsidRPr="00C079F1">
        <w:rPr>
          <w:rFonts w:ascii="Palatino Linotype" w:hAnsi="Palatino Linotype"/>
          <w:sz w:val="24"/>
          <w:szCs w:val="24"/>
        </w:rPr>
        <w:t xml:space="preserve"> i costi relativi a voci non fiscalmente documentate e quelli relativi ad “imprevisti” o a “varie” o a voci equivalenti. I documenti di spesa devono essere riferiti esclusivamente al</w:t>
      </w:r>
      <w:r w:rsidR="00C079F1">
        <w:rPr>
          <w:rFonts w:ascii="Palatino Linotype" w:hAnsi="Palatino Linotype"/>
          <w:sz w:val="24"/>
          <w:szCs w:val="24"/>
        </w:rPr>
        <w:t>le</w:t>
      </w:r>
      <w:r w:rsidRPr="00C079F1">
        <w:rPr>
          <w:rFonts w:ascii="Palatino Linotype" w:hAnsi="Palatino Linotype"/>
          <w:sz w:val="24"/>
          <w:szCs w:val="24"/>
        </w:rPr>
        <w:t xml:space="preserve"> attività </w:t>
      </w:r>
      <w:r w:rsidR="00C079F1">
        <w:rPr>
          <w:rFonts w:ascii="Palatino Linotype" w:hAnsi="Palatino Linotype"/>
          <w:sz w:val="24"/>
          <w:szCs w:val="24"/>
        </w:rPr>
        <w:t>finalizzate all’attuazione del progetto relative al</w:t>
      </w:r>
      <w:r w:rsidRPr="00C079F1">
        <w:rPr>
          <w:rFonts w:ascii="Palatino Linotype" w:hAnsi="Palatino Linotype"/>
          <w:sz w:val="24"/>
          <w:szCs w:val="24"/>
        </w:rPr>
        <w:t xml:space="preserve"> periodo ammesso a finanziamento ed essere allegati in copia. </w:t>
      </w:r>
    </w:p>
    <w:p w:rsidR="00024E63" w:rsidRPr="00C079F1" w:rsidRDefault="00C079F1" w:rsidP="00C079F1">
      <w:pPr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documentazione in  originale,</w:t>
      </w:r>
      <w:r w:rsidR="00024E63" w:rsidRPr="00C079F1">
        <w:rPr>
          <w:rFonts w:ascii="Palatino Linotype" w:hAnsi="Palatino Linotype"/>
          <w:sz w:val="24"/>
          <w:szCs w:val="24"/>
        </w:rPr>
        <w:t xml:space="preserve"> </w:t>
      </w:r>
      <w:r w:rsidRPr="00C079F1">
        <w:rPr>
          <w:rFonts w:ascii="Palatino Linotype" w:hAnsi="Palatino Linotype"/>
          <w:sz w:val="24"/>
          <w:szCs w:val="24"/>
        </w:rPr>
        <w:t>archiviata in maniera ordinata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024E63" w:rsidRPr="00C079F1">
        <w:rPr>
          <w:rFonts w:ascii="Palatino Linotype" w:hAnsi="Palatino Linotype"/>
          <w:sz w:val="24"/>
          <w:szCs w:val="24"/>
        </w:rPr>
        <w:t>v</w:t>
      </w:r>
      <w:r>
        <w:rPr>
          <w:rFonts w:ascii="Palatino Linotype" w:hAnsi="Palatino Linotype"/>
          <w:sz w:val="24"/>
          <w:szCs w:val="24"/>
        </w:rPr>
        <w:t>iene</w:t>
      </w:r>
      <w:r w:rsidR="00024E63" w:rsidRPr="00C079F1">
        <w:rPr>
          <w:rFonts w:ascii="Palatino Linotype" w:hAnsi="Palatino Linotype"/>
          <w:sz w:val="24"/>
          <w:szCs w:val="24"/>
        </w:rPr>
        <w:t xml:space="preserve"> conservat</w:t>
      </w:r>
      <w:r>
        <w:rPr>
          <w:rFonts w:ascii="Palatino Linotype" w:hAnsi="Palatino Linotype"/>
          <w:sz w:val="24"/>
          <w:szCs w:val="24"/>
        </w:rPr>
        <w:t>a</w:t>
      </w:r>
      <w:r w:rsidR="00024E63" w:rsidRPr="00C079F1">
        <w:rPr>
          <w:rFonts w:ascii="Palatino Linotype" w:hAnsi="Palatino Linotype"/>
          <w:sz w:val="24"/>
          <w:szCs w:val="24"/>
        </w:rPr>
        <w:t xml:space="preserve"> agli</w:t>
      </w:r>
      <w:r>
        <w:rPr>
          <w:rFonts w:ascii="Palatino Linotype" w:hAnsi="Palatino Linotype"/>
          <w:sz w:val="24"/>
          <w:szCs w:val="24"/>
        </w:rPr>
        <w:t xml:space="preserve"> atti dal soggetto beneficiario e messa a disposizione</w:t>
      </w:r>
      <w:r w:rsidR="00024E63" w:rsidRPr="00C079F1">
        <w:rPr>
          <w:rFonts w:ascii="Palatino Linotype" w:hAnsi="Palatino Linotype"/>
          <w:sz w:val="24"/>
          <w:szCs w:val="24"/>
        </w:rPr>
        <w:t xml:space="preserve"> degli uffici competenti per esercitare l’</w:t>
      </w:r>
      <w:r>
        <w:rPr>
          <w:rFonts w:ascii="Palatino Linotype" w:hAnsi="Palatino Linotype"/>
          <w:sz w:val="24"/>
          <w:szCs w:val="24"/>
        </w:rPr>
        <w:t xml:space="preserve">eventuale attività di controllo. </w:t>
      </w:r>
    </w:p>
    <w:p w:rsidR="00024E63" w:rsidRPr="00C079F1" w:rsidRDefault="00024E63" w:rsidP="00024E63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C079F1">
        <w:rPr>
          <w:rFonts w:ascii="Palatino Linotype" w:hAnsi="Palatino Linotype"/>
          <w:b/>
          <w:sz w:val="24"/>
          <w:szCs w:val="24"/>
        </w:rPr>
        <w:t>Su ogni titolo di spesa originale (fatture, cedolini paga, ecc.) deve essere apposto il timbro con l’indicazione dell’azione di riferimento e dell’imputazione parziale o totale dell’importo al progetto.</w:t>
      </w:r>
    </w:p>
    <w:p w:rsidR="00024E63" w:rsidRPr="00C079F1" w:rsidRDefault="00024E63" w:rsidP="00024E63">
      <w:pPr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>Non si considerano documenti probatori le auto fatture, le fatture pro-forma ed i preventivi.</w:t>
      </w:r>
    </w:p>
    <w:p w:rsidR="00024E63" w:rsidRPr="00C079F1" w:rsidRDefault="00024E63" w:rsidP="00024E63">
      <w:pPr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>Con particolare riferimento a</w:t>
      </w:r>
      <w:r w:rsidR="003F5872">
        <w:rPr>
          <w:rFonts w:ascii="Palatino Linotype" w:hAnsi="Palatino Linotype"/>
          <w:sz w:val="24"/>
          <w:szCs w:val="24"/>
        </w:rPr>
        <w:t>i c</w:t>
      </w:r>
      <w:r w:rsidRPr="00C079F1">
        <w:rPr>
          <w:rFonts w:ascii="Palatino Linotype" w:hAnsi="Palatino Linotype"/>
          <w:sz w:val="24"/>
          <w:szCs w:val="24"/>
        </w:rPr>
        <w:t xml:space="preserve">osti di </w:t>
      </w:r>
      <w:r w:rsidR="003F5872">
        <w:rPr>
          <w:rFonts w:ascii="Palatino Linotype" w:hAnsi="Palatino Linotype"/>
          <w:sz w:val="24"/>
          <w:szCs w:val="24"/>
        </w:rPr>
        <w:t>“</w:t>
      </w:r>
      <w:r w:rsidRPr="00C079F1">
        <w:rPr>
          <w:rFonts w:ascii="Palatino Linotype" w:hAnsi="Palatino Linotype"/>
          <w:sz w:val="24"/>
          <w:szCs w:val="24"/>
        </w:rPr>
        <w:t>personale</w:t>
      </w:r>
      <w:r w:rsidR="003F5872">
        <w:rPr>
          <w:rFonts w:ascii="Palatino Linotype" w:hAnsi="Palatino Linotype"/>
          <w:sz w:val="24"/>
          <w:szCs w:val="24"/>
        </w:rPr>
        <w:t>”</w:t>
      </w:r>
      <w:r w:rsidRPr="00C079F1">
        <w:rPr>
          <w:rFonts w:ascii="Palatino Linotype" w:hAnsi="Palatino Linotype"/>
          <w:sz w:val="24"/>
          <w:szCs w:val="24"/>
        </w:rPr>
        <w:t>, sempreché utilizzato in specifiche mansioni  (anche amministrative) connesse al progetto, i relativi costi possono essere riconosciuti se accompagnati da:</w:t>
      </w:r>
    </w:p>
    <w:p w:rsidR="00024E63" w:rsidRPr="00C079F1" w:rsidRDefault="00024E63" w:rsidP="00024E63">
      <w:pPr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>Copia dei cedolini con timbri di imputazione al progetto;</w:t>
      </w:r>
    </w:p>
    <w:p w:rsidR="00024E63" w:rsidRPr="00C079F1" w:rsidRDefault="00024E63" w:rsidP="00024E63">
      <w:pPr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>Elenco giorni e orari delle attività svolte (time-sheet);</w:t>
      </w:r>
    </w:p>
    <w:p w:rsidR="00024E63" w:rsidRPr="00C079F1" w:rsidRDefault="00024E63" w:rsidP="00024E63">
      <w:pPr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>Costo orario del personale certificato dalla struttura competente</w:t>
      </w:r>
    </w:p>
    <w:p w:rsidR="00024E63" w:rsidRDefault="00024E63" w:rsidP="00024E63">
      <w:pPr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>F24 a dimostrazion</w:t>
      </w:r>
      <w:r w:rsidR="009F0921">
        <w:rPr>
          <w:rFonts w:ascii="Palatino Linotype" w:hAnsi="Palatino Linotype"/>
          <w:sz w:val="24"/>
          <w:szCs w:val="24"/>
        </w:rPr>
        <w:t>e del versamento delle ritenute.</w:t>
      </w:r>
    </w:p>
    <w:p w:rsidR="009F0921" w:rsidRPr="00C079F1" w:rsidRDefault="009F0921" w:rsidP="009F0921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024E63" w:rsidRPr="009F0921" w:rsidRDefault="009F0921" w:rsidP="00024E63">
      <w:pPr>
        <w:tabs>
          <w:tab w:val="left" w:pos="1155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 a</w:t>
      </w:r>
      <w:r w:rsidR="00024E63" w:rsidRPr="00C079F1">
        <w:rPr>
          <w:rFonts w:ascii="Palatino Linotype" w:hAnsi="Palatino Linotype"/>
          <w:b/>
          <w:sz w:val="24"/>
          <w:szCs w:val="24"/>
          <w:u w:val="single"/>
        </w:rPr>
        <w:t>llega</w:t>
      </w:r>
      <w:r>
        <w:rPr>
          <w:rFonts w:ascii="Palatino Linotype" w:hAnsi="Palatino Linotype"/>
          <w:b/>
          <w:sz w:val="24"/>
          <w:szCs w:val="24"/>
          <w:u w:val="single"/>
        </w:rPr>
        <w:t>ta</w:t>
      </w:r>
      <w:r w:rsidR="00024E63" w:rsidRPr="00C079F1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sz w:val="24"/>
          <w:szCs w:val="24"/>
          <w:u w:val="single"/>
        </w:rPr>
        <w:t>eventuale</w:t>
      </w:r>
      <w:r w:rsidR="00024E63" w:rsidRPr="00C079F1">
        <w:rPr>
          <w:rFonts w:ascii="Palatino Linotype" w:hAnsi="Palatino Linotype"/>
          <w:b/>
          <w:sz w:val="24"/>
          <w:szCs w:val="24"/>
          <w:u w:val="single"/>
        </w:rPr>
        <w:t xml:space="preserve"> documentazione informativa relativa al progetto</w:t>
      </w:r>
      <w:r w:rsidR="00024E63" w:rsidRPr="00C079F1">
        <w:rPr>
          <w:rFonts w:ascii="Palatino Linotype" w:hAnsi="Palatino Linotype"/>
          <w:sz w:val="24"/>
          <w:szCs w:val="24"/>
        </w:rPr>
        <w:t xml:space="preserve"> (manifesti, brochure, informative su siti internet e altri new media, ecc.), nonché tutto il materiale prodotto in relazione alle attività e iniziative connesse al progetto</w:t>
      </w:r>
      <w:r>
        <w:rPr>
          <w:rFonts w:ascii="Palatino Linotype" w:hAnsi="Palatino Linotype"/>
          <w:sz w:val="24"/>
          <w:szCs w:val="24"/>
        </w:rPr>
        <w:t xml:space="preserve"> stesso</w:t>
      </w:r>
      <w:r w:rsidR="00024E63" w:rsidRPr="00C079F1">
        <w:rPr>
          <w:rFonts w:ascii="Palatino Linotype" w:hAnsi="Palatino Linotype"/>
          <w:sz w:val="24"/>
          <w:szCs w:val="24"/>
        </w:rPr>
        <w:t>.</w:t>
      </w:r>
    </w:p>
    <w:p w:rsidR="009F0921" w:rsidRPr="009F0921" w:rsidRDefault="009F0921" w:rsidP="00C079F1">
      <w:pPr>
        <w:tabs>
          <w:tab w:val="num" w:pos="720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F0921">
        <w:rPr>
          <w:rFonts w:ascii="Palatino Linotype" w:hAnsi="Palatino Linotype"/>
          <w:b/>
          <w:sz w:val="24"/>
          <w:szCs w:val="24"/>
          <w:u w:val="single"/>
        </w:rPr>
        <w:t>Eventuali variazioni al progetto</w:t>
      </w:r>
    </w:p>
    <w:p w:rsidR="00C079F1" w:rsidRPr="00C079F1" w:rsidRDefault="00C079F1" w:rsidP="00C079F1">
      <w:pPr>
        <w:tabs>
          <w:tab w:val="num" w:pos="720"/>
        </w:tabs>
        <w:jc w:val="both"/>
        <w:rPr>
          <w:rFonts w:ascii="Palatino Linotype" w:hAnsi="Palatino Linotype"/>
          <w:sz w:val="24"/>
          <w:szCs w:val="24"/>
        </w:rPr>
      </w:pPr>
      <w:r w:rsidRPr="00C079F1">
        <w:rPr>
          <w:rFonts w:ascii="Palatino Linotype" w:hAnsi="Palatino Linotype"/>
          <w:sz w:val="24"/>
          <w:szCs w:val="24"/>
        </w:rPr>
        <w:t xml:space="preserve">Ogni eventuale </w:t>
      </w:r>
      <w:r w:rsidRPr="00C079F1">
        <w:rPr>
          <w:rFonts w:ascii="Palatino Linotype" w:hAnsi="Palatino Linotype"/>
          <w:sz w:val="24"/>
          <w:szCs w:val="24"/>
          <w:u w:val="single"/>
        </w:rPr>
        <w:t xml:space="preserve">variazione </w:t>
      </w:r>
      <w:r w:rsidRPr="00C079F1">
        <w:rPr>
          <w:rFonts w:ascii="Palatino Linotype" w:hAnsi="Palatino Linotype"/>
          <w:sz w:val="24"/>
          <w:szCs w:val="24"/>
        </w:rPr>
        <w:t>riguardante tipologia di attività, personale, tempi di realizza</w:t>
      </w:r>
      <w:r w:rsidR="009F0921">
        <w:rPr>
          <w:rFonts w:ascii="Palatino Linotype" w:hAnsi="Palatino Linotype"/>
          <w:sz w:val="24"/>
          <w:szCs w:val="24"/>
        </w:rPr>
        <w:t>zione, tipologia di costo, ecc.,</w:t>
      </w:r>
      <w:r w:rsidRPr="00C079F1">
        <w:rPr>
          <w:rFonts w:ascii="Palatino Linotype" w:hAnsi="Palatino Linotype"/>
          <w:sz w:val="24"/>
          <w:szCs w:val="24"/>
        </w:rPr>
        <w:t xml:space="preserve"> rispetto alle attività indicate in sede </w:t>
      </w:r>
      <w:r w:rsidR="009F0921">
        <w:rPr>
          <w:rFonts w:ascii="Palatino Linotype" w:hAnsi="Palatino Linotype"/>
          <w:sz w:val="24"/>
          <w:szCs w:val="24"/>
        </w:rPr>
        <w:t xml:space="preserve">di presentazione della scheda </w:t>
      </w:r>
      <w:r w:rsidRPr="00C079F1">
        <w:rPr>
          <w:rFonts w:ascii="Palatino Linotype" w:hAnsi="Palatino Linotype"/>
          <w:sz w:val="24"/>
          <w:szCs w:val="24"/>
        </w:rPr>
        <w:t>progett</w:t>
      </w:r>
      <w:r w:rsidR="009F0921">
        <w:rPr>
          <w:rFonts w:ascii="Palatino Linotype" w:hAnsi="Palatino Linotype"/>
          <w:sz w:val="24"/>
          <w:szCs w:val="24"/>
        </w:rPr>
        <w:t>o</w:t>
      </w:r>
      <w:r w:rsidRPr="00C079F1">
        <w:rPr>
          <w:rFonts w:ascii="Palatino Linotype" w:hAnsi="Palatino Linotype"/>
          <w:sz w:val="24"/>
          <w:szCs w:val="24"/>
        </w:rPr>
        <w:t xml:space="preserve">, deve essere </w:t>
      </w:r>
      <w:r w:rsidR="009F0921">
        <w:rPr>
          <w:rFonts w:ascii="Palatino Linotype" w:hAnsi="Palatino Linotype"/>
          <w:sz w:val="24"/>
          <w:szCs w:val="24"/>
        </w:rPr>
        <w:t>tempestivamente</w:t>
      </w:r>
      <w:r w:rsidRPr="00C079F1">
        <w:rPr>
          <w:rFonts w:ascii="Palatino Linotype" w:hAnsi="Palatino Linotype"/>
          <w:sz w:val="24"/>
          <w:szCs w:val="24"/>
        </w:rPr>
        <w:t xml:space="preserve"> comunicata all’ufficio </w:t>
      </w:r>
      <w:r w:rsidR="009F0921">
        <w:rPr>
          <w:rFonts w:ascii="Palatino Linotype" w:hAnsi="Palatino Linotype"/>
          <w:sz w:val="24"/>
          <w:szCs w:val="24"/>
        </w:rPr>
        <w:t>regionale</w:t>
      </w:r>
      <w:r w:rsidRPr="00C079F1">
        <w:rPr>
          <w:rFonts w:ascii="Palatino Linotype" w:hAnsi="Palatino Linotype"/>
          <w:sz w:val="24"/>
          <w:szCs w:val="24"/>
        </w:rPr>
        <w:t xml:space="preserve">. </w:t>
      </w:r>
      <w:r w:rsidR="009F0921">
        <w:rPr>
          <w:rFonts w:ascii="Palatino Linotype" w:hAnsi="Palatino Linotype"/>
          <w:sz w:val="24"/>
          <w:szCs w:val="24"/>
        </w:rPr>
        <w:t>Le spese non ritenute ammissibili non potranno essere riconosciute.</w:t>
      </w:r>
    </w:p>
    <w:p w:rsidR="00024E63" w:rsidRPr="00C079F1" w:rsidRDefault="00024E63" w:rsidP="00292575">
      <w:pPr>
        <w:rPr>
          <w:rFonts w:ascii="Palatino Linotype" w:hAnsi="Palatino Linotype"/>
        </w:rPr>
      </w:pPr>
    </w:p>
    <w:sectPr w:rsidR="00024E63" w:rsidRPr="00C079F1" w:rsidSect="00953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0BC"/>
    <w:multiLevelType w:val="hybridMultilevel"/>
    <w:tmpl w:val="F6604C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12F0A"/>
    <w:multiLevelType w:val="hybridMultilevel"/>
    <w:tmpl w:val="BE2051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047D7D"/>
    <w:multiLevelType w:val="hybridMultilevel"/>
    <w:tmpl w:val="E89C6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449EB"/>
    <w:multiLevelType w:val="hybridMultilevel"/>
    <w:tmpl w:val="211E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91435"/>
    <w:multiLevelType w:val="hybridMultilevel"/>
    <w:tmpl w:val="B964C4D8"/>
    <w:lvl w:ilvl="0" w:tplc="521460B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BE7"/>
    <w:multiLevelType w:val="hybridMultilevel"/>
    <w:tmpl w:val="05C6D9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F0F7F"/>
    <w:multiLevelType w:val="hybridMultilevel"/>
    <w:tmpl w:val="DCB811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A6"/>
    <w:rsid w:val="00024E63"/>
    <w:rsid w:val="00144934"/>
    <w:rsid w:val="002825A6"/>
    <w:rsid w:val="00292575"/>
    <w:rsid w:val="00371DC1"/>
    <w:rsid w:val="003A3851"/>
    <w:rsid w:val="003F5872"/>
    <w:rsid w:val="0051126D"/>
    <w:rsid w:val="006508A4"/>
    <w:rsid w:val="006544F7"/>
    <w:rsid w:val="00945E3B"/>
    <w:rsid w:val="009532C0"/>
    <w:rsid w:val="00993159"/>
    <w:rsid w:val="009B6FB4"/>
    <w:rsid w:val="009F0921"/>
    <w:rsid w:val="00C079F1"/>
    <w:rsid w:val="00C35CBC"/>
    <w:rsid w:val="00D0168D"/>
    <w:rsid w:val="00E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EF3EB-A37A-401A-A14A-113E6C6E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68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1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16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8D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4">
    <w:name w:val="titolo4"/>
    <w:basedOn w:val="Titolo2"/>
    <w:uiPriority w:val="99"/>
    <w:rsid w:val="00D0168D"/>
    <w:pPr>
      <w:keepNext w:val="0"/>
      <w:keepLines w:val="0"/>
      <w:widowControl w:val="0"/>
      <w:spacing w:before="0" w:after="20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D0168D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1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99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54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Nespeca</dc:creator>
  <cp:keywords/>
  <dc:description/>
  <cp:lastModifiedBy>Antonella Nespeca</cp:lastModifiedBy>
  <cp:revision>2</cp:revision>
  <dcterms:created xsi:type="dcterms:W3CDTF">2018-02-14T11:49:00Z</dcterms:created>
  <dcterms:modified xsi:type="dcterms:W3CDTF">2018-02-14T11:49:00Z</dcterms:modified>
</cp:coreProperties>
</file>