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EC" w:rsidRDefault="00BA71EC" w:rsidP="00BA71EC">
      <w:pPr>
        <w:rPr>
          <w:b/>
        </w:rPr>
      </w:pPr>
      <w:r>
        <w:rPr>
          <w:b/>
        </w:rPr>
        <w:t>ALLEGATO</w:t>
      </w:r>
      <w:r w:rsidR="00201F63">
        <w:rPr>
          <w:b/>
        </w:rPr>
        <w:t xml:space="preserve"> AL DECRETO</w:t>
      </w:r>
      <w:r>
        <w:rPr>
          <w:b/>
        </w:rPr>
        <w:t xml:space="preserve">: BANDO DI ACCESSO </w:t>
      </w:r>
      <w:r w:rsidR="00201F63" w:rsidRPr="00201F63">
        <w:rPr>
          <w:i/>
        </w:rPr>
        <w:t>(ANNO)</w:t>
      </w:r>
    </w:p>
    <w:p w:rsidR="00BA71EC" w:rsidRDefault="00BA71EC" w:rsidP="00BA71EC"/>
    <w:p w:rsidR="00BA71EC" w:rsidRDefault="009B17E4" w:rsidP="00BA71EC">
      <w:bookmarkStart w:id="0" w:name="_GoBack"/>
      <w:r>
        <w:rPr>
          <w:noProof/>
          <w:lang w:eastAsia="it-IT"/>
        </w:rPr>
        <w:drawing>
          <wp:inline distT="0" distB="0" distL="0" distR="0">
            <wp:extent cx="6120130" cy="198564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inga_bandi 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A71EC" w:rsidRDefault="00BA71EC" w:rsidP="00BA71EC">
      <w:pPr>
        <w:pStyle w:val="Titolo"/>
      </w:pPr>
    </w:p>
    <w:p w:rsidR="00BA71EC" w:rsidRDefault="00BA71EC" w:rsidP="00BA71EC">
      <w:pPr>
        <w:pStyle w:val="Titolo"/>
      </w:pPr>
      <w:r>
        <w:t>PROGRAMMA OPERATIVO REGIONALE (</w:t>
      </w:r>
      <w:proofErr w:type="gramStart"/>
      <w:r>
        <w:t>POR)  MARCHE</w:t>
      </w:r>
      <w:proofErr w:type="gramEnd"/>
      <w:r>
        <w:t xml:space="preserve"> FESR 2014/2020 </w:t>
      </w:r>
    </w:p>
    <w:p w:rsidR="00BA71EC" w:rsidRDefault="00BA71EC" w:rsidP="00BA71EC">
      <w:pPr>
        <w:pStyle w:val="Titolo"/>
      </w:pPr>
      <w:r>
        <w:t>ASSE</w:t>
      </w:r>
      <w:proofErr w:type="gramStart"/>
      <w:r>
        <w:t xml:space="preserve"> </w:t>
      </w:r>
      <w:r w:rsidR="00486B5B">
        <w:t>..</w:t>
      </w:r>
      <w:proofErr w:type="gramEnd"/>
      <w:r>
        <w:t xml:space="preserve"> – AZIONE </w:t>
      </w:r>
      <w:r w:rsidR="009C3FE8">
        <w:t xml:space="preserve">… </w:t>
      </w:r>
      <w:r w:rsidR="009C3FE8" w:rsidRPr="009C3FE8">
        <w:rPr>
          <w:b w:val="0"/>
          <w:i/>
          <w:sz w:val="20"/>
        </w:rPr>
        <w:t>(Inserire il codice intervento come indicato nelle schede MAPO)</w:t>
      </w:r>
    </w:p>
    <w:p w:rsidR="00BA71EC" w:rsidRDefault="00BA71EC" w:rsidP="00BA71EC">
      <w:pPr>
        <w:pStyle w:val="Titolo"/>
      </w:pPr>
    </w:p>
    <w:p w:rsidR="00BA71EC" w:rsidRDefault="00486B5B" w:rsidP="00BA71EC">
      <w:pPr>
        <w:pStyle w:val="Titolo"/>
      </w:pPr>
      <w:r>
        <w:t>Titolo intervento</w:t>
      </w:r>
      <w:proofErr w:type="gramStart"/>
      <w:r>
        <w:t xml:space="preserve"> ….</w:t>
      </w:r>
      <w:proofErr w:type="gramEnd"/>
      <w:r>
        <w:t>.</w:t>
      </w:r>
      <w:r w:rsidR="009C3FE8">
        <w:t xml:space="preserve"> </w:t>
      </w:r>
      <w:r w:rsidR="009C3FE8" w:rsidRPr="009C3FE8">
        <w:rPr>
          <w:b w:val="0"/>
          <w:i/>
          <w:sz w:val="20"/>
        </w:rPr>
        <w:t>(Titolo intervento da scheda MAPO)</w:t>
      </w:r>
    </w:p>
    <w:p w:rsidR="00BA71EC" w:rsidRDefault="00BA71EC" w:rsidP="00BA71EC">
      <w:pPr>
        <w:pStyle w:val="Titolo"/>
      </w:pPr>
    </w:p>
    <w:p w:rsidR="00BA71EC" w:rsidRDefault="00BA71EC" w:rsidP="00BA71EC">
      <w:pPr>
        <w:pStyle w:val="Titolo"/>
      </w:pPr>
      <w:r>
        <w:tab/>
      </w:r>
    </w:p>
    <w:p w:rsidR="00BA71EC" w:rsidRDefault="00BA71EC" w:rsidP="00BA71EC">
      <w:pPr>
        <w:pStyle w:val="Titol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7263"/>
      </w:tblGrid>
      <w:tr w:rsidR="00BA71EC" w:rsidTr="00BA71EC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</w:rPr>
            </w:pPr>
            <w:r>
              <w:rPr>
                <w:b/>
              </w:rPr>
              <w:t>SERVIZIO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1EC" w:rsidRDefault="00BA71EC"/>
          <w:p w:rsidR="00BA71EC" w:rsidRDefault="00BA71EC" w:rsidP="00486B5B"/>
        </w:tc>
      </w:tr>
      <w:tr w:rsidR="00BA71EC" w:rsidTr="00BA71EC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</w:rPr>
            </w:pPr>
            <w:r>
              <w:rPr>
                <w:b/>
              </w:rPr>
              <w:t>P.F.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/>
        </w:tc>
      </w:tr>
      <w:tr w:rsidR="00BA71EC" w:rsidTr="00BA71EC">
        <w:trPr>
          <w:trHeight w:val="817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</w:rPr>
            </w:pPr>
            <w:r>
              <w:rPr>
                <w:b/>
              </w:rPr>
              <w:t>Posta elettronica certificata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/>
        </w:tc>
      </w:tr>
      <w:tr w:rsidR="00BA71EC" w:rsidTr="00BA71EC">
        <w:trPr>
          <w:trHeight w:val="701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</w:rPr>
            </w:pPr>
            <w:r>
              <w:rPr>
                <w:b/>
              </w:rPr>
              <w:t>Responsabile del procedimento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/>
        </w:tc>
      </w:tr>
      <w:tr w:rsidR="00BA71EC" w:rsidTr="00BA71EC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</w:rPr>
            </w:pPr>
            <w:proofErr w:type="gramStart"/>
            <w:r>
              <w:rPr>
                <w:b/>
              </w:rPr>
              <w:t>telefono</w:t>
            </w:r>
            <w:proofErr w:type="gramEnd"/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/>
        </w:tc>
      </w:tr>
      <w:tr w:rsidR="00BA71EC" w:rsidTr="00BA71EC">
        <w:trPr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</w:rPr>
            </w:pPr>
            <w:proofErr w:type="gramStart"/>
            <w:r>
              <w:rPr>
                <w:b/>
              </w:rPr>
              <w:t>telefax</w:t>
            </w:r>
            <w:proofErr w:type="gramEnd"/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/>
        </w:tc>
      </w:tr>
      <w:tr w:rsidR="00BA71EC" w:rsidTr="00BA71EC">
        <w:trPr>
          <w:trHeight w:val="28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b/>
                <w:lang w:val="en-US"/>
              </w:rPr>
            </w:pPr>
            <w:proofErr w:type="gramStart"/>
            <w:r>
              <w:rPr>
                <w:b/>
              </w:rPr>
              <w:t>e-mail</w:t>
            </w:r>
            <w:proofErr w:type="gram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1EC" w:rsidRDefault="00BA71EC">
            <w:pPr>
              <w:rPr>
                <w:lang w:val="en-US"/>
              </w:rPr>
            </w:pPr>
          </w:p>
        </w:tc>
      </w:tr>
    </w:tbl>
    <w:p w:rsidR="00BA71EC" w:rsidRDefault="00BA71EC" w:rsidP="00BA71EC">
      <w:pPr>
        <w:rPr>
          <w:lang w:val="en-US"/>
        </w:rPr>
      </w:pPr>
    </w:p>
    <w:p w:rsidR="00BA71EC" w:rsidRDefault="00BA71EC" w:rsidP="00BA71EC">
      <w:pPr>
        <w:rPr>
          <w:lang w:val="en-US"/>
        </w:rPr>
      </w:pPr>
    </w:p>
    <w:p w:rsidR="00BA71EC" w:rsidRDefault="00BA71EC" w:rsidP="00BA71EC">
      <w:pPr>
        <w:rPr>
          <w:lang w:val="en-US"/>
        </w:rPr>
      </w:pPr>
    </w:p>
    <w:p w:rsidR="00BA71EC" w:rsidRDefault="00BA71EC" w:rsidP="00BA71EC">
      <w:pPr>
        <w:rPr>
          <w:lang w:val="en-US"/>
        </w:rPr>
      </w:pPr>
      <w:r>
        <w:rPr>
          <w:lang w:val="en-US"/>
        </w:rPr>
        <w:br w:type="page"/>
      </w:r>
    </w:p>
    <w:p w:rsidR="00BA71EC" w:rsidRPr="00201F63" w:rsidRDefault="00201F63" w:rsidP="00BA71EC">
      <w:pPr>
        <w:pStyle w:val="Titolosommario"/>
        <w:rPr>
          <w:rFonts w:asciiTheme="minorHAnsi" w:hAnsiTheme="minorHAnsi"/>
          <w:sz w:val="24"/>
          <w:szCs w:val="20"/>
        </w:rPr>
      </w:pPr>
      <w:r>
        <w:rPr>
          <w:rFonts w:asciiTheme="minorHAnsi" w:hAnsiTheme="minorHAnsi"/>
          <w:sz w:val="24"/>
          <w:szCs w:val="20"/>
        </w:rPr>
        <w:lastRenderedPageBreak/>
        <w:t xml:space="preserve">Schema di </w:t>
      </w:r>
      <w:r w:rsidR="00BA71EC" w:rsidRPr="00201F63">
        <w:rPr>
          <w:rFonts w:asciiTheme="minorHAnsi" w:hAnsiTheme="minorHAnsi"/>
          <w:sz w:val="24"/>
          <w:szCs w:val="20"/>
        </w:rPr>
        <w:t>Sommario</w:t>
      </w:r>
      <w:r>
        <w:rPr>
          <w:rFonts w:asciiTheme="minorHAnsi" w:hAnsiTheme="minorHAnsi"/>
          <w:sz w:val="24"/>
          <w:szCs w:val="20"/>
        </w:rPr>
        <w:t xml:space="preserve"> </w:t>
      </w:r>
      <w:r w:rsidRPr="00201F63">
        <w:rPr>
          <w:rFonts w:asciiTheme="minorHAnsi" w:hAnsiTheme="minorHAnsi"/>
          <w:b w:val="0"/>
          <w:i/>
          <w:sz w:val="20"/>
          <w:szCs w:val="20"/>
        </w:rPr>
        <w:t>(da documento “linee guida Bandi” della Regione Marche)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Tipologia o Descrizione dell’intervento</w:t>
      </w:r>
    </w:p>
    <w:p w:rsidR="00201F63" w:rsidRPr="00201F63" w:rsidRDefault="00201F63" w:rsidP="00201F63">
      <w:pPr>
        <w:keepNext/>
        <w:spacing w:line="360" w:lineRule="auto"/>
        <w:ind w:left="284"/>
        <w:outlineLvl w:val="0"/>
        <w:rPr>
          <w:rFonts w:asciiTheme="minorHAnsi" w:hAnsiTheme="minorHAnsi" w:cs="Arial"/>
          <w:bCs/>
          <w:i/>
          <w:kern w:val="32"/>
          <w:sz w:val="20"/>
          <w:szCs w:val="20"/>
          <w:lang w:eastAsia="it-IT"/>
        </w:rPr>
      </w:pPr>
      <w:bookmarkStart w:id="1" w:name="_Toc315340791"/>
      <w:r w:rsidRPr="00201F63">
        <w:rPr>
          <w:rFonts w:asciiTheme="minorHAnsi" w:hAnsiTheme="minorHAnsi" w:cs="Arial"/>
          <w:bCs/>
          <w:i/>
          <w:kern w:val="32"/>
          <w:sz w:val="20"/>
          <w:szCs w:val="20"/>
          <w:lang w:eastAsia="it-IT"/>
        </w:rPr>
        <w:t>CODICE MAPO</w:t>
      </w:r>
      <w:bookmarkEnd w:id="1"/>
      <w:r w:rsidRPr="00201F63">
        <w:rPr>
          <w:rFonts w:asciiTheme="minorHAnsi" w:hAnsiTheme="minorHAnsi" w:cs="Arial"/>
          <w:bCs/>
          <w:i/>
          <w:kern w:val="32"/>
          <w:sz w:val="20"/>
          <w:szCs w:val="20"/>
          <w:lang w:eastAsia="it-IT"/>
        </w:rPr>
        <w:t>: Inserire il codice intervento come indicato nelle schede MAPO</w:t>
      </w:r>
    </w:p>
    <w:p w:rsidR="00201F63" w:rsidRPr="00201F63" w:rsidRDefault="00201F63" w:rsidP="00201F63">
      <w:pPr>
        <w:spacing w:line="360" w:lineRule="auto"/>
        <w:ind w:left="284"/>
        <w:rPr>
          <w:rFonts w:asciiTheme="minorHAnsi" w:eastAsia="Calibri" w:hAnsiTheme="minorHAnsi" w:cs="Times New Roman"/>
          <w:i/>
          <w:sz w:val="20"/>
          <w:szCs w:val="20"/>
        </w:rPr>
      </w:pPr>
      <w:r w:rsidRPr="00201F63">
        <w:rPr>
          <w:rFonts w:asciiTheme="minorHAnsi" w:eastAsia="Calibri" w:hAnsiTheme="minorHAnsi" w:cs="Times New Roman"/>
          <w:i/>
          <w:sz w:val="20"/>
          <w:szCs w:val="20"/>
        </w:rPr>
        <w:t>Titolo intervento da scheda MAPO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Finalità e obiettivi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Risorse finanziarie 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Requisiti soggettivi per la partecipazione </w:t>
      </w:r>
    </w:p>
    <w:p w:rsidR="00201F63" w:rsidRPr="00201F63" w:rsidRDefault="00201F63" w:rsidP="00201F63">
      <w:pPr>
        <w:spacing w:line="360" w:lineRule="auto"/>
        <w:ind w:left="426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4.1 Beneficiari</w:t>
      </w:r>
    </w:p>
    <w:p w:rsidR="00201F63" w:rsidRPr="00201F63" w:rsidRDefault="00201F63" w:rsidP="00201F63">
      <w:pPr>
        <w:spacing w:after="120" w:line="360" w:lineRule="auto"/>
        <w:ind w:left="426"/>
        <w:rPr>
          <w:rFonts w:asciiTheme="minorHAnsi" w:eastAsia="Calibri" w:hAnsiTheme="minorHAnsi" w:cs="Arial"/>
          <w:iCs/>
          <w:sz w:val="20"/>
          <w:szCs w:val="20"/>
        </w:rPr>
      </w:pPr>
      <w:r w:rsidRPr="00201F63">
        <w:rPr>
          <w:rFonts w:asciiTheme="minorHAnsi" w:eastAsia="Calibri" w:hAnsiTheme="minorHAnsi" w:cs="Arial"/>
          <w:iCs/>
          <w:sz w:val="20"/>
          <w:szCs w:val="20"/>
        </w:rPr>
        <w:t>4.2 Non possono essere ammesse a contributo le imprese: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Tipologia delle attività ammissibili (tipologia del progetto)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Spese ammissibili</w:t>
      </w:r>
    </w:p>
    <w:p w:rsidR="00201F63" w:rsidRPr="00201F63" w:rsidRDefault="00201F63" w:rsidP="00201F63">
      <w:pPr>
        <w:numPr>
          <w:ilvl w:val="0"/>
          <w:numId w:val="1"/>
        </w:numPr>
        <w:spacing w:line="360" w:lineRule="auto"/>
        <w:ind w:left="284" w:hanging="284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Modalità di erogazione del contributo </w:t>
      </w:r>
    </w:p>
    <w:p w:rsidR="00201F63" w:rsidRPr="00201F63" w:rsidRDefault="00201F63" w:rsidP="00201F63">
      <w:pPr>
        <w:numPr>
          <w:ilvl w:val="0"/>
          <w:numId w:val="1"/>
        </w:numPr>
        <w:ind w:left="284" w:hanging="284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Regole di cumulo</w:t>
      </w:r>
    </w:p>
    <w:p w:rsidR="00201F63" w:rsidRPr="00201F63" w:rsidRDefault="00201F63" w:rsidP="00201F63">
      <w:pPr>
        <w:keepNext/>
        <w:keepLines/>
        <w:spacing w:before="120" w:line="360" w:lineRule="auto"/>
        <w:ind w:left="284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8.1 Cumulo di finanziamenti</w:t>
      </w:r>
    </w:p>
    <w:p w:rsidR="00201F63" w:rsidRPr="00201F63" w:rsidRDefault="00201F63" w:rsidP="00201F63">
      <w:pPr>
        <w:numPr>
          <w:ilvl w:val="0"/>
          <w:numId w:val="1"/>
        </w:numPr>
        <w:spacing w:after="120"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Progetti generatori di entrate (per i beneficiari pubblici)</w:t>
      </w:r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i/>
          <w:sz w:val="20"/>
          <w:szCs w:val="20"/>
        </w:rPr>
      </w:pPr>
      <w:r w:rsidRPr="00201F63">
        <w:rPr>
          <w:rFonts w:asciiTheme="minorHAnsi" w:eastAsia="Calibri" w:hAnsiTheme="minorHAnsi" w:cs="Times New Roman"/>
          <w:i/>
          <w:sz w:val="20"/>
          <w:szCs w:val="20"/>
        </w:rPr>
        <w:t xml:space="preserve">Campo da prevedere solo se l’intervento messo a bando prevede progetti potenzialmente generatori di entrate, ai sensi dell’art. 61 del Reg. (UE) n. 1303/2013. </w:t>
      </w:r>
      <w:bookmarkStart w:id="2" w:name="_Toc195678448"/>
    </w:p>
    <w:bookmarkEnd w:id="2"/>
    <w:p w:rsidR="00201F63" w:rsidRPr="00201F63" w:rsidRDefault="00201F63" w:rsidP="00201F63">
      <w:pPr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Tempistica relativa al programma (termini ammissibilità della spesa)</w:t>
      </w:r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11 Modalità di presentazione della domanda e della relativa documentazione</w:t>
      </w:r>
    </w:p>
    <w:p w:rsidR="00201F63" w:rsidRPr="00201F63" w:rsidRDefault="00201F63" w:rsidP="00201F63">
      <w:pPr>
        <w:keepNext/>
        <w:keepLines/>
        <w:spacing w:before="120" w:line="360" w:lineRule="auto"/>
        <w:ind w:left="284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3" w:name="_Toc315340807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11.1 Documentazione per la presentazione della domanda di partecipazione</w:t>
      </w:r>
      <w:bookmarkEnd w:id="3"/>
    </w:p>
    <w:p w:rsidR="00201F63" w:rsidRPr="00201F63" w:rsidRDefault="00201F63" w:rsidP="00201F63">
      <w:pPr>
        <w:keepNext/>
        <w:keepLines/>
        <w:spacing w:before="120" w:line="360" w:lineRule="auto"/>
        <w:ind w:left="284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4" w:name="_Toc315340808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 xml:space="preserve">11.2 Modalità di presentazione </w:t>
      </w:r>
      <w:bookmarkEnd w:id="4"/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12 Criteri e modalità di valutazione</w:t>
      </w:r>
    </w:p>
    <w:p w:rsidR="00201F63" w:rsidRPr="00201F63" w:rsidRDefault="00201F63" w:rsidP="00201F63">
      <w:pPr>
        <w:keepNext/>
        <w:keepLines/>
        <w:spacing w:before="120" w:line="360" w:lineRule="auto"/>
        <w:ind w:left="284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5" w:name="_Toc315340795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12.1 Criteri di ammissibilità</w:t>
      </w:r>
      <w:bookmarkEnd w:id="5"/>
    </w:p>
    <w:p w:rsidR="00201F63" w:rsidRPr="00201F63" w:rsidRDefault="00201F63" w:rsidP="00201F63">
      <w:pPr>
        <w:keepNext/>
        <w:keepLines/>
        <w:spacing w:before="120" w:line="360" w:lineRule="auto"/>
        <w:ind w:left="284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6" w:name="_Toc315340804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12.2 Criteri di valutazione</w:t>
      </w:r>
      <w:bookmarkEnd w:id="6"/>
    </w:p>
    <w:p w:rsidR="00201F63" w:rsidRPr="00201F63" w:rsidRDefault="00201F63" w:rsidP="00201F63">
      <w:pPr>
        <w:keepNext/>
        <w:keepLines/>
        <w:spacing w:before="120" w:line="360" w:lineRule="auto"/>
        <w:ind w:left="284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7" w:name="_Toc315340805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12.3 Criteri di priorità</w:t>
      </w:r>
      <w:bookmarkEnd w:id="7"/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sz w:val="20"/>
          <w:szCs w:val="20"/>
        </w:rPr>
      </w:pPr>
      <w:bookmarkStart w:id="8" w:name="_Toc315340817"/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13 Graduatoria e concessione del finanziamento (in caso di procedure a </w:t>
      </w:r>
      <w:r w:rsidRPr="00201F63">
        <w:rPr>
          <w:rFonts w:asciiTheme="minorHAnsi" w:eastAsia="Calibri" w:hAnsiTheme="minorHAnsi" w:cs="Times New Roman"/>
          <w:sz w:val="20"/>
          <w:szCs w:val="20"/>
          <w:u w:val="single"/>
        </w:rPr>
        <w:t>sportello:</w:t>
      </w:r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 approvazione progetto, concessione del finanziamento e comunicazione della data dell’avvio del progetto – unico decreto sia per l’approvazione che per la concessione)</w:t>
      </w:r>
    </w:p>
    <w:bookmarkEnd w:id="8"/>
    <w:p w:rsidR="00201F63" w:rsidRPr="00201F63" w:rsidRDefault="00201F63" w:rsidP="001C691F">
      <w:pPr>
        <w:keepNext/>
        <w:spacing w:before="120" w:after="60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14.PROCEDURE DI APPALTO</w:t>
      </w:r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i/>
          <w:sz w:val="20"/>
          <w:szCs w:val="20"/>
        </w:rPr>
      </w:pPr>
      <w:r w:rsidRPr="00201F63">
        <w:rPr>
          <w:rFonts w:asciiTheme="minorHAnsi" w:eastAsia="Calibri" w:hAnsiTheme="minorHAnsi" w:cs="Times New Roman"/>
          <w:i/>
          <w:sz w:val="20"/>
          <w:szCs w:val="20"/>
        </w:rPr>
        <w:t>(</w:t>
      </w:r>
      <w:proofErr w:type="gramStart"/>
      <w:r w:rsidRPr="00201F63">
        <w:rPr>
          <w:rFonts w:asciiTheme="minorHAnsi" w:eastAsia="Calibri" w:hAnsiTheme="minorHAnsi" w:cs="Times New Roman"/>
          <w:i/>
          <w:sz w:val="20"/>
          <w:szCs w:val="20"/>
        </w:rPr>
        <w:t>solo</w:t>
      </w:r>
      <w:proofErr w:type="gramEnd"/>
      <w:r w:rsidRPr="00201F63">
        <w:rPr>
          <w:rFonts w:asciiTheme="minorHAnsi" w:eastAsia="Calibri" w:hAnsiTheme="minorHAnsi" w:cs="Times New Roman"/>
          <w:i/>
          <w:sz w:val="20"/>
          <w:szCs w:val="20"/>
        </w:rPr>
        <w:t xml:space="preserve"> per i progetti rientranti nella categoria “realizzazione opere pubbliche”)</w:t>
      </w:r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15. Rendicontazione e modalità di rendicontazione della spesa (prova della spesa, fideiussione – </w:t>
      </w:r>
      <w:r w:rsidRPr="00201F63">
        <w:rPr>
          <w:rFonts w:asciiTheme="minorHAnsi" w:eastAsia="Calibri" w:hAnsiTheme="minorHAnsi" w:cs="Times New Roman"/>
          <w:i/>
          <w:sz w:val="20"/>
          <w:szCs w:val="20"/>
        </w:rPr>
        <w:t>bancaria o assicurativa</w:t>
      </w:r>
      <w:r w:rsidRPr="00201F63">
        <w:rPr>
          <w:rFonts w:asciiTheme="minorHAnsi" w:eastAsia="Calibri" w:hAnsiTheme="minorHAnsi" w:cs="Times New Roman"/>
          <w:sz w:val="20"/>
          <w:szCs w:val="20"/>
        </w:rPr>
        <w:t xml:space="preserve"> -   in caso di anticipo)</w:t>
      </w:r>
    </w:p>
    <w:p w:rsidR="00201F63" w:rsidRPr="00201F63" w:rsidRDefault="00201F63" w:rsidP="00201F63">
      <w:pPr>
        <w:keepNext/>
        <w:keepLines/>
        <w:spacing w:before="200" w:line="360" w:lineRule="auto"/>
        <w:ind w:left="426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9" w:name="_Toc315340819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lastRenderedPageBreak/>
        <w:t>15.1 La rendicontazione delle spese</w:t>
      </w:r>
      <w:bookmarkEnd w:id="9"/>
    </w:p>
    <w:p w:rsidR="00201F63" w:rsidRPr="00201F63" w:rsidRDefault="00201F63" w:rsidP="00201F63">
      <w:pPr>
        <w:keepNext/>
        <w:keepLines/>
        <w:spacing w:before="200" w:line="360" w:lineRule="auto"/>
        <w:ind w:left="851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10" w:name="_Toc315340820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15.1.2 Modalità di rendicontazione delle spese</w:t>
      </w:r>
      <w:bookmarkEnd w:id="10"/>
    </w:p>
    <w:p w:rsidR="00201F63" w:rsidRPr="00201F63" w:rsidRDefault="00201F63" w:rsidP="00201F63">
      <w:pPr>
        <w:keepNext/>
        <w:keepLines/>
        <w:spacing w:before="200" w:line="360" w:lineRule="auto"/>
        <w:ind w:left="851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11" w:name="_Toc315340821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15.1.3 Obblighi connessi alla rendicontazione delle spese</w:t>
      </w:r>
      <w:bookmarkEnd w:id="11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 xml:space="preserve"> </w:t>
      </w:r>
    </w:p>
    <w:p w:rsidR="00201F63" w:rsidRPr="00201F63" w:rsidRDefault="00201F63" w:rsidP="00201F63">
      <w:pPr>
        <w:keepNext/>
        <w:spacing w:before="240" w:after="60" w:line="360" w:lineRule="auto"/>
        <w:ind w:left="426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bookmarkStart w:id="12" w:name="_Toc315340822"/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15.2 Prova della Spesa</w:t>
      </w:r>
      <w:bookmarkEnd w:id="12"/>
    </w:p>
    <w:p w:rsidR="00201F63" w:rsidRPr="00201F63" w:rsidRDefault="00201F63" w:rsidP="00201F63">
      <w:pPr>
        <w:keepNext/>
        <w:keepLines/>
        <w:spacing w:before="200" w:line="360" w:lineRule="auto"/>
        <w:ind w:left="851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13" w:name="_Toc315340823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15.2.1 Documentazione giustificativa della spesa</w:t>
      </w:r>
      <w:bookmarkEnd w:id="13"/>
    </w:p>
    <w:p w:rsidR="00201F63" w:rsidRPr="00201F63" w:rsidRDefault="00201F63" w:rsidP="00201F63">
      <w:pPr>
        <w:keepNext/>
        <w:keepLines/>
        <w:spacing w:before="200" w:line="360" w:lineRule="auto"/>
        <w:ind w:left="851"/>
        <w:outlineLvl w:val="1"/>
        <w:rPr>
          <w:rFonts w:asciiTheme="minorHAnsi" w:eastAsia="MS Gothic" w:hAnsiTheme="minorHAnsi" w:cs="Times New Roman"/>
          <w:bCs/>
          <w:i/>
          <w:sz w:val="20"/>
          <w:szCs w:val="20"/>
        </w:rPr>
      </w:pPr>
      <w:bookmarkStart w:id="14" w:name="_Toc315340824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15.2.2 Modalità di pagamento</w:t>
      </w:r>
      <w:bookmarkEnd w:id="14"/>
    </w:p>
    <w:p w:rsidR="00201F63" w:rsidRPr="00201F63" w:rsidRDefault="00201F63" w:rsidP="00201F63">
      <w:pPr>
        <w:keepNext/>
        <w:keepLines/>
        <w:spacing w:before="200" w:line="360" w:lineRule="auto"/>
        <w:ind w:left="851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15" w:name="_Toc315340825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15.2.3 Documentazione giustificativa dell’avvenuto pagamento</w:t>
      </w:r>
      <w:bookmarkEnd w:id="15"/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16. Liquidazione contributo</w:t>
      </w:r>
    </w:p>
    <w:p w:rsidR="00201F63" w:rsidRPr="00201F63" w:rsidRDefault="00201F63" w:rsidP="00201F63">
      <w:pPr>
        <w:spacing w:line="360" w:lineRule="auto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17. Varianti/proroghe/sospensioni/revoche</w:t>
      </w:r>
    </w:p>
    <w:p w:rsidR="00201F63" w:rsidRPr="00201F63" w:rsidRDefault="00201F63" w:rsidP="00201F63">
      <w:pPr>
        <w:keepNext/>
        <w:spacing w:before="240" w:after="60" w:line="360" w:lineRule="auto"/>
        <w:ind w:left="426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bookmarkStart w:id="16" w:name="_Toc315340827"/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17.1 Varianti di progetto</w:t>
      </w:r>
      <w:bookmarkEnd w:id="16"/>
    </w:p>
    <w:p w:rsidR="00201F63" w:rsidRPr="00201F63" w:rsidRDefault="00201F63" w:rsidP="00201F63">
      <w:pPr>
        <w:spacing w:line="360" w:lineRule="auto"/>
        <w:ind w:left="708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17.1.1. Variazioni in corso di esecuzione del progetto</w:t>
      </w:r>
    </w:p>
    <w:p w:rsidR="00201F63" w:rsidRPr="00201F63" w:rsidRDefault="00201F63" w:rsidP="00201F63">
      <w:pPr>
        <w:spacing w:line="360" w:lineRule="auto"/>
        <w:ind w:left="708"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17.1.2 variazioni successive alla liquidazione del contributo</w:t>
      </w:r>
      <w:r w:rsidRPr="00201F63">
        <w:rPr>
          <w:rFonts w:asciiTheme="minorHAnsi" w:eastAsia="Calibri" w:hAnsiTheme="minorHAnsi" w:cs="Times New Roman"/>
          <w:i/>
          <w:sz w:val="20"/>
          <w:szCs w:val="20"/>
        </w:rPr>
        <w:t xml:space="preserve"> (limitatamente ai bandi che </w:t>
      </w:r>
    </w:p>
    <w:p w:rsidR="00201F63" w:rsidRPr="00201F63" w:rsidRDefault="00201F63" w:rsidP="00201F63">
      <w:pPr>
        <w:keepNext/>
        <w:spacing w:before="240" w:after="60" w:line="360" w:lineRule="auto"/>
        <w:ind w:left="426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bookmarkStart w:id="17" w:name="_Toc315340828"/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17.2 Proroghe</w:t>
      </w:r>
      <w:bookmarkEnd w:id="17"/>
    </w:p>
    <w:p w:rsidR="00201F63" w:rsidRPr="00201F63" w:rsidRDefault="00201F63" w:rsidP="00201F63">
      <w:pPr>
        <w:keepNext/>
        <w:spacing w:before="240" w:after="60" w:line="360" w:lineRule="auto"/>
        <w:ind w:left="426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bookmarkStart w:id="18" w:name="_Toc315340829"/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17.3 Sospensioni</w:t>
      </w:r>
      <w:bookmarkEnd w:id="18"/>
    </w:p>
    <w:p w:rsidR="00201F63" w:rsidRPr="00201F63" w:rsidRDefault="00201F63" w:rsidP="00201F63">
      <w:pPr>
        <w:keepNext/>
        <w:spacing w:before="240" w:after="60" w:line="360" w:lineRule="auto"/>
        <w:ind w:left="426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bookmarkStart w:id="19" w:name="_Toc315340830"/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17.4 Revoche</w:t>
      </w:r>
      <w:bookmarkEnd w:id="19"/>
    </w:p>
    <w:p w:rsidR="00201F63" w:rsidRPr="00201F63" w:rsidRDefault="00201F63" w:rsidP="00201F63">
      <w:pPr>
        <w:keepNext/>
        <w:keepLines/>
        <w:spacing w:before="200" w:line="360" w:lineRule="auto"/>
        <w:ind w:left="708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20" w:name="_Toc315340831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17.4.1. Cause di revoca</w:t>
      </w:r>
      <w:bookmarkEnd w:id="20"/>
    </w:p>
    <w:p w:rsidR="00201F63" w:rsidRPr="00201F63" w:rsidRDefault="00201F63" w:rsidP="00201F63">
      <w:pPr>
        <w:keepNext/>
        <w:keepLines/>
        <w:spacing w:before="200" w:line="360" w:lineRule="auto"/>
        <w:ind w:left="708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bookmarkStart w:id="21" w:name="_Toc315340832"/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17.4.2 Procedimento di revoca e recupero</w:t>
      </w:r>
      <w:bookmarkEnd w:id="21"/>
    </w:p>
    <w:p w:rsidR="00201F63" w:rsidRPr="00201F63" w:rsidRDefault="00201F63" w:rsidP="00201F63">
      <w:pPr>
        <w:numPr>
          <w:ilvl w:val="0"/>
          <w:numId w:val="3"/>
        </w:numPr>
        <w:spacing w:line="360" w:lineRule="auto"/>
        <w:ind w:hanging="502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Obblighi del beneficiario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2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18.1. Obblighi in materia di informazione e pubblicità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2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18.2. Obblighi connessi alla rendicontazione delle spese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2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18.3. Obblighi connessi alla stabilità delle operazioni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2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18.4. Obblighi di comunicazione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2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18.5. Rispetto della normativa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2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18.6. Altri obblighi</w:t>
      </w:r>
    </w:p>
    <w:p w:rsidR="00201F63" w:rsidRPr="00201F63" w:rsidRDefault="00201F63" w:rsidP="00201F63">
      <w:pPr>
        <w:numPr>
          <w:ilvl w:val="0"/>
          <w:numId w:val="3"/>
        </w:numPr>
        <w:spacing w:line="360" w:lineRule="auto"/>
        <w:ind w:hanging="502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Informazioni relative al procedimento amministrativo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lastRenderedPageBreak/>
        <w:t>19.1. Informazioni sulle fasi del procedimento ai sensi della Legge n.241/90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19.2. Responsabile del procedimento e del provvedimento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19.3. Diritto di accesso</w:t>
      </w:r>
    </w:p>
    <w:p w:rsidR="00201F63" w:rsidRPr="00201F63" w:rsidRDefault="00201F63" w:rsidP="00201F63">
      <w:pPr>
        <w:keepNext/>
        <w:keepLines/>
        <w:spacing w:before="200" w:line="360" w:lineRule="auto"/>
        <w:ind w:left="502"/>
        <w:outlineLvl w:val="1"/>
        <w:rPr>
          <w:rFonts w:asciiTheme="minorHAnsi" w:eastAsia="MS Gothic" w:hAnsiTheme="minorHAnsi" w:cs="Times New Roman"/>
          <w:bCs/>
          <w:sz w:val="20"/>
          <w:szCs w:val="20"/>
        </w:rPr>
      </w:pPr>
      <w:r w:rsidRPr="00201F63">
        <w:rPr>
          <w:rFonts w:asciiTheme="minorHAnsi" w:eastAsia="MS Gothic" w:hAnsiTheme="minorHAnsi" w:cs="Times New Roman"/>
          <w:bCs/>
          <w:sz w:val="20"/>
          <w:szCs w:val="20"/>
        </w:rPr>
        <w:t>19.4. Procedure di ricorso</w:t>
      </w:r>
    </w:p>
    <w:p w:rsidR="00201F63" w:rsidRPr="00201F63" w:rsidRDefault="00201F63" w:rsidP="00201F63">
      <w:pPr>
        <w:keepNext/>
        <w:spacing w:before="120" w:after="60" w:line="360" w:lineRule="auto"/>
        <w:ind w:left="505"/>
        <w:outlineLvl w:val="0"/>
        <w:rPr>
          <w:rFonts w:asciiTheme="minorHAnsi" w:hAnsiTheme="minorHAnsi" w:cs="Arial"/>
          <w:bCs/>
          <w:kern w:val="32"/>
          <w:sz w:val="20"/>
          <w:szCs w:val="20"/>
          <w:lang w:eastAsia="it-IT"/>
        </w:rPr>
      </w:pPr>
      <w:r w:rsidRPr="00201F63">
        <w:rPr>
          <w:rFonts w:asciiTheme="minorHAnsi" w:hAnsiTheme="minorHAnsi" w:cs="Arial"/>
          <w:bCs/>
          <w:kern w:val="32"/>
          <w:sz w:val="20"/>
          <w:szCs w:val="20"/>
          <w:lang w:eastAsia="it-IT"/>
        </w:rPr>
        <w:t>19.5 Trattamento dati personali - informativa</w:t>
      </w:r>
    </w:p>
    <w:p w:rsidR="00201F63" w:rsidRPr="00201F63" w:rsidRDefault="00201F63" w:rsidP="00201F63">
      <w:pPr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Controlli</w:t>
      </w:r>
    </w:p>
    <w:p w:rsidR="00201F63" w:rsidRPr="00201F63" w:rsidRDefault="00201F63" w:rsidP="00201F63">
      <w:pPr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Pubblicità del bando</w:t>
      </w:r>
    </w:p>
    <w:p w:rsidR="00201F63" w:rsidRPr="00201F63" w:rsidRDefault="00201F63" w:rsidP="00201F63">
      <w:pPr>
        <w:numPr>
          <w:ilvl w:val="0"/>
          <w:numId w:val="3"/>
        </w:numPr>
        <w:spacing w:line="360" w:lineRule="auto"/>
        <w:ind w:left="426" w:hanging="426"/>
        <w:contextualSpacing/>
        <w:rPr>
          <w:rFonts w:asciiTheme="minorHAnsi" w:eastAsia="Calibri" w:hAnsiTheme="minorHAnsi" w:cs="Times New Roman"/>
          <w:sz w:val="20"/>
          <w:szCs w:val="20"/>
        </w:rPr>
      </w:pPr>
      <w:r w:rsidRPr="00201F63">
        <w:rPr>
          <w:rFonts w:asciiTheme="minorHAnsi" w:eastAsia="Calibri" w:hAnsiTheme="minorHAnsi" w:cs="Times New Roman"/>
          <w:sz w:val="20"/>
          <w:szCs w:val="20"/>
        </w:rPr>
        <w:t>Norme di rinvio</w:t>
      </w:r>
    </w:p>
    <w:p w:rsidR="00BA71EC" w:rsidRDefault="00BA71EC" w:rsidP="00BE58F7">
      <w:pPr>
        <w:pStyle w:val="Sommario1"/>
        <w:tabs>
          <w:tab w:val="right" w:leader="dot" w:pos="10104"/>
        </w:tabs>
        <w:rPr>
          <w:rFonts w:asciiTheme="minorHAnsi" w:eastAsiaTheme="minorEastAsia" w:hAnsiTheme="minorHAnsi" w:cstheme="minorBidi"/>
          <w:noProof/>
          <w:sz w:val="18"/>
          <w:szCs w:val="18"/>
          <w:lang w:eastAsia="it-IT"/>
        </w:rPr>
      </w:pPr>
      <w:r>
        <w:rPr>
          <w:rFonts w:asciiTheme="minorHAnsi" w:hAnsiTheme="minorHAnsi"/>
          <w:sz w:val="20"/>
          <w:szCs w:val="20"/>
        </w:rPr>
        <w:fldChar w:fldCharType="begin"/>
      </w:r>
      <w:r>
        <w:rPr>
          <w:rFonts w:asciiTheme="minorHAnsi" w:hAnsiTheme="minorHAnsi"/>
          <w:sz w:val="20"/>
          <w:szCs w:val="20"/>
        </w:rPr>
        <w:instrText xml:space="preserve"> TOC \o "3-3" \h \z \t "Titolo 2;2;Titolo1;1" </w:instrText>
      </w:r>
      <w:r>
        <w:rPr>
          <w:rFonts w:asciiTheme="minorHAnsi" w:hAnsiTheme="minorHAnsi"/>
          <w:sz w:val="20"/>
          <w:szCs w:val="20"/>
        </w:rPr>
        <w:fldChar w:fldCharType="separate"/>
      </w:r>
    </w:p>
    <w:p w:rsidR="00B664D1" w:rsidRDefault="00BA71EC" w:rsidP="00BA71EC">
      <w:r>
        <w:rPr>
          <w:rFonts w:asciiTheme="minorHAnsi" w:hAnsiTheme="minorHAnsi"/>
          <w:sz w:val="20"/>
          <w:szCs w:val="20"/>
        </w:rPr>
        <w:fldChar w:fldCharType="end"/>
      </w:r>
    </w:p>
    <w:sectPr w:rsidR="00B664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86C"/>
    <w:multiLevelType w:val="hybridMultilevel"/>
    <w:tmpl w:val="B63E1DA4"/>
    <w:lvl w:ilvl="0" w:tplc="60AE48C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7896"/>
    <w:multiLevelType w:val="hybridMultilevel"/>
    <w:tmpl w:val="ED9C25FA"/>
    <w:lvl w:ilvl="0" w:tplc="DBDAC5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9290E"/>
    <w:multiLevelType w:val="hybridMultilevel"/>
    <w:tmpl w:val="148E040C"/>
    <w:lvl w:ilvl="0" w:tplc="1DACC430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EC"/>
    <w:rsid w:val="001C691F"/>
    <w:rsid w:val="00201F63"/>
    <w:rsid w:val="00486B5B"/>
    <w:rsid w:val="009B17E4"/>
    <w:rsid w:val="009C3FE8"/>
    <w:rsid w:val="00B664D1"/>
    <w:rsid w:val="00BA71EC"/>
    <w:rsid w:val="00BE58F7"/>
    <w:rsid w:val="00C2426E"/>
    <w:rsid w:val="00F1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1BCF-7A1B-4B76-9CAF-30300C3F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1EC"/>
    <w:pPr>
      <w:spacing w:after="0" w:line="240" w:lineRule="auto"/>
      <w:jc w:val="both"/>
    </w:pPr>
    <w:rPr>
      <w:rFonts w:ascii="Calibri" w:eastAsia="Times New Roman" w:hAnsi="Calibri" w:cs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7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71EC"/>
    <w:rPr>
      <w:rFonts w:ascii="Times New Roman" w:hAnsi="Times New Roman" w:cs="Times New Roman" w:hint="default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BA71EC"/>
    <w:pPr>
      <w:spacing w:after="100" w:line="276" w:lineRule="auto"/>
    </w:pPr>
    <w:rPr>
      <w:rFonts w:cs="Times New Roman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BA71EC"/>
    <w:pPr>
      <w:tabs>
        <w:tab w:val="left" w:pos="851"/>
        <w:tab w:val="right" w:leader="dot" w:pos="10065"/>
      </w:tabs>
      <w:ind w:left="426" w:hanging="200"/>
    </w:pPr>
    <w:rPr>
      <w:rFonts w:cs="Times New Roman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A71EC"/>
    <w:pPr>
      <w:spacing w:after="100" w:line="276" w:lineRule="auto"/>
      <w:ind w:left="440"/>
    </w:pPr>
    <w:rPr>
      <w:rFonts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A71EC"/>
    <w:pPr>
      <w:jc w:val="center"/>
    </w:pPr>
    <w:rPr>
      <w:rFonts w:cs="Cambria"/>
      <w:b/>
      <w:bCs/>
      <w:kern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BA71EC"/>
    <w:rPr>
      <w:rFonts w:ascii="Calibri" w:eastAsia="Times New Roman" w:hAnsi="Calibri" w:cs="Cambria"/>
      <w:b/>
      <w:bCs/>
      <w:kern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7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A71EC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1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1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Travagliati</dc:creator>
  <cp:lastModifiedBy>Raffaella Rotiroti</cp:lastModifiedBy>
  <cp:revision>2</cp:revision>
  <dcterms:created xsi:type="dcterms:W3CDTF">2016-12-16T10:53:00Z</dcterms:created>
  <dcterms:modified xsi:type="dcterms:W3CDTF">2016-12-16T10:53:00Z</dcterms:modified>
</cp:coreProperties>
</file>