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FF5" w:rsidRDefault="00934FF5" w:rsidP="00934FF5">
      <w:pPr>
        <w:spacing w:after="0" w:line="240" w:lineRule="auto"/>
        <w:jc w:val="center"/>
        <w:rPr>
          <w:rFonts w:ascii="Times New Roman" w:hAnsi="Times New Roman" w:cs="Times New Roman"/>
          <w:b/>
          <w:i/>
        </w:rPr>
      </w:pPr>
      <w:r>
        <w:rPr>
          <w:rFonts w:ascii="Times New Roman" w:hAnsi="Times New Roman" w:cs="Times New Roman"/>
          <w:b/>
          <w:i/>
        </w:rPr>
        <w:t>Incontro Autorità di Audit, Commissione Europea e IGRUE</w:t>
      </w:r>
    </w:p>
    <w:p w:rsidR="00934FF5" w:rsidRDefault="00934FF5" w:rsidP="00934FF5">
      <w:pPr>
        <w:spacing w:after="0" w:line="240" w:lineRule="auto"/>
        <w:jc w:val="center"/>
        <w:rPr>
          <w:rFonts w:ascii="Times New Roman" w:hAnsi="Times New Roman" w:cs="Times New Roman"/>
          <w:b/>
          <w:i/>
        </w:rPr>
      </w:pPr>
      <w:r>
        <w:rPr>
          <w:rFonts w:ascii="Times New Roman" w:hAnsi="Times New Roman" w:cs="Times New Roman"/>
          <w:b/>
          <w:i/>
        </w:rPr>
        <w:t>4-5 ottobre Senigallia (AN)</w:t>
      </w:r>
    </w:p>
    <w:p w:rsidR="00934FF5" w:rsidRDefault="00934FF5" w:rsidP="00934FF5">
      <w:pPr>
        <w:spacing w:after="0" w:line="240" w:lineRule="auto"/>
        <w:jc w:val="center"/>
        <w:rPr>
          <w:rFonts w:ascii="Times New Roman" w:hAnsi="Times New Roman" w:cs="Times New Roman"/>
          <w:b/>
        </w:rPr>
      </w:pPr>
    </w:p>
    <w:p w:rsidR="00934FF5" w:rsidRDefault="00934FF5" w:rsidP="00934FF5">
      <w:pPr>
        <w:spacing w:after="0" w:line="240" w:lineRule="auto"/>
        <w:jc w:val="center"/>
        <w:rPr>
          <w:rFonts w:ascii="Times New Roman" w:hAnsi="Times New Roman" w:cs="Times New Roman"/>
          <w:b/>
        </w:rPr>
      </w:pPr>
      <w:r>
        <w:rPr>
          <w:rFonts w:ascii="Times New Roman" w:hAnsi="Times New Roman" w:cs="Times New Roman"/>
          <w:b/>
        </w:rPr>
        <w:t>Chiusura 2007-2013</w:t>
      </w:r>
    </w:p>
    <w:p w:rsidR="00934FF5" w:rsidRDefault="00934FF5" w:rsidP="00934FF5">
      <w:pPr>
        <w:spacing w:after="0" w:line="240" w:lineRule="auto"/>
        <w:jc w:val="center"/>
        <w:rPr>
          <w:rFonts w:ascii="Times New Roman" w:hAnsi="Times New Roman" w:cs="Times New Roman"/>
          <w:b/>
        </w:rPr>
      </w:pPr>
    </w:p>
    <w:p w:rsidR="00934FF5" w:rsidRDefault="00934FF5" w:rsidP="00934FF5">
      <w:pPr>
        <w:spacing w:after="0" w:line="240" w:lineRule="auto"/>
        <w:jc w:val="center"/>
        <w:rPr>
          <w:rFonts w:ascii="Times New Roman" w:hAnsi="Times New Roman" w:cs="Times New Roman"/>
          <w:b/>
        </w:rPr>
      </w:pPr>
      <w:r>
        <w:rPr>
          <w:rFonts w:ascii="Times New Roman" w:hAnsi="Times New Roman" w:cs="Times New Roman"/>
          <w:b/>
        </w:rPr>
        <w:t>Quesiti</w:t>
      </w:r>
    </w:p>
    <w:p w:rsidR="00855915" w:rsidRPr="00934FF5" w:rsidRDefault="00251869" w:rsidP="00EA7D39">
      <w:pPr>
        <w:jc w:val="center"/>
        <w:rPr>
          <w:rFonts w:ascii="Times New Roman" w:hAnsi="Times New Roman" w:cs="Times New Roman"/>
          <w:b/>
          <w:u w:val="single"/>
        </w:rPr>
      </w:pPr>
      <w:r w:rsidRPr="00934FF5">
        <w:rPr>
          <w:rFonts w:ascii="Times New Roman" w:hAnsi="Times New Roman" w:cs="Times New Roman"/>
          <w:b/>
          <w:u w:val="single"/>
        </w:rPr>
        <w:t>Rischio residuo alla chiusura</w:t>
      </w:r>
      <w:r w:rsidR="00622B05" w:rsidRPr="00934FF5">
        <w:rPr>
          <w:rFonts w:ascii="Times New Roman" w:hAnsi="Times New Roman" w:cs="Times New Roman"/>
          <w:b/>
          <w:u w:val="single"/>
        </w:rPr>
        <w:t xml:space="preserve"> e determinazione del rischio annuo</w:t>
      </w:r>
    </w:p>
    <w:p w:rsidR="00622B05" w:rsidRPr="00934FF5" w:rsidRDefault="007A4731" w:rsidP="009A0D31">
      <w:pPr>
        <w:jc w:val="both"/>
        <w:rPr>
          <w:rFonts w:ascii="Times New Roman" w:hAnsi="Times New Roman" w:cs="Times New Roman"/>
        </w:rPr>
      </w:pPr>
      <w:r w:rsidRPr="00934FF5">
        <w:rPr>
          <w:rFonts w:ascii="Times New Roman" w:hAnsi="Times New Roman" w:cs="Times New Roman"/>
        </w:rPr>
        <w:t>Con riferimento alla compilazione della tabella relativa alla determinazione del tasso di rischio residuo alla chiusura, si sottopongono alla Commissione due temi.</w:t>
      </w:r>
    </w:p>
    <w:p w:rsidR="007A4731" w:rsidRPr="00934FF5" w:rsidRDefault="007A4731" w:rsidP="00CF091D">
      <w:pPr>
        <w:pStyle w:val="Paragrafoelenco"/>
        <w:numPr>
          <w:ilvl w:val="0"/>
          <w:numId w:val="8"/>
        </w:numPr>
        <w:jc w:val="both"/>
        <w:rPr>
          <w:rFonts w:ascii="Times New Roman" w:hAnsi="Times New Roman" w:cs="Times New Roman"/>
        </w:rPr>
      </w:pPr>
      <w:bookmarkStart w:id="0" w:name="_GoBack"/>
      <w:bookmarkEnd w:id="0"/>
      <w:r w:rsidRPr="00934FF5">
        <w:rPr>
          <w:rFonts w:ascii="Times New Roman" w:hAnsi="Times New Roman" w:cs="Times New Roman"/>
        </w:rPr>
        <w:t>Tasso di errore proiettato annuo.</w:t>
      </w:r>
    </w:p>
    <w:p w:rsidR="00EA7D39" w:rsidRPr="00934FF5" w:rsidRDefault="00EA7D39" w:rsidP="009A0D31">
      <w:pPr>
        <w:jc w:val="both"/>
        <w:rPr>
          <w:rFonts w:ascii="Times New Roman" w:hAnsi="Times New Roman" w:cs="Times New Roman"/>
        </w:rPr>
      </w:pPr>
      <w:r w:rsidRPr="00934FF5">
        <w:rPr>
          <w:rFonts w:ascii="Times New Roman" w:hAnsi="Times New Roman" w:cs="Times New Roman"/>
        </w:rPr>
        <w:t>L’AdA in chiusura potrà esprimere un PARERE FINALE SENZA RISERVE in merito all’affidabilità solo se l’importo di rischio residuo cumulato si manterrà entro il 2%.</w:t>
      </w:r>
    </w:p>
    <w:p w:rsidR="00EA7D39" w:rsidRPr="00934FF5" w:rsidRDefault="00EA7D39" w:rsidP="009A0D31">
      <w:pPr>
        <w:jc w:val="both"/>
        <w:rPr>
          <w:rFonts w:ascii="Times New Roman" w:hAnsi="Times New Roman" w:cs="Times New Roman"/>
        </w:rPr>
      </w:pPr>
      <w:r w:rsidRPr="00934FF5">
        <w:rPr>
          <w:rFonts w:ascii="Times New Roman" w:hAnsi="Times New Roman" w:cs="Times New Roman"/>
        </w:rPr>
        <w:t>La Decisione C(2015) 2771 final del 30.04.2015 “Orientamenti sulla chiusura 2007-</w:t>
      </w:r>
      <w:proofErr w:type="gramStart"/>
      <w:r w:rsidRPr="00934FF5">
        <w:rPr>
          <w:rFonts w:ascii="Times New Roman" w:hAnsi="Times New Roman" w:cs="Times New Roman"/>
        </w:rPr>
        <w:t>2013”  –</w:t>
      </w:r>
      <w:proofErr w:type="gramEnd"/>
      <w:r w:rsidRPr="00934FF5">
        <w:rPr>
          <w:rFonts w:ascii="Times New Roman" w:hAnsi="Times New Roman" w:cs="Times New Roman"/>
        </w:rPr>
        <w:t xml:space="preserve"> Allegato VI indica le modalità per</w:t>
      </w:r>
      <w:r w:rsidR="003A712D" w:rsidRPr="00934FF5">
        <w:rPr>
          <w:rFonts w:ascii="Times New Roman" w:hAnsi="Times New Roman" w:cs="Times New Roman"/>
        </w:rPr>
        <w:t xml:space="preserve"> il calcolo del rischio residuo</w:t>
      </w:r>
      <w:r w:rsidR="004E1CBB" w:rsidRPr="00934FF5">
        <w:rPr>
          <w:rFonts w:ascii="Times New Roman" w:hAnsi="Times New Roman" w:cs="Times New Roman"/>
        </w:rPr>
        <w:t xml:space="preserve"> alla chiusura</w:t>
      </w:r>
      <w:r w:rsidR="003A712D" w:rsidRPr="00934FF5">
        <w:rPr>
          <w:rFonts w:ascii="Times New Roman" w:hAnsi="Times New Roman" w:cs="Times New Roman"/>
        </w:rPr>
        <w:t>, in particolare è specificato che</w:t>
      </w:r>
      <w:r w:rsidR="004E1CBB" w:rsidRPr="00934FF5">
        <w:rPr>
          <w:rFonts w:ascii="Times New Roman" w:hAnsi="Times New Roman" w:cs="Times New Roman"/>
        </w:rPr>
        <w:t xml:space="preserve"> per quanto riguarda il </w:t>
      </w:r>
      <w:r w:rsidR="004E1CBB" w:rsidRPr="00934FF5">
        <w:rPr>
          <w:rFonts w:ascii="Times New Roman" w:hAnsi="Times New Roman" w:cs="Times New Roman"/>
          <w:u w:val="single"/>
        </w:rPr>
        <w:t>rischio annuo</w:t>
      </w:r>
      <w:r w:rsidR="004E1CBB" w:rsidRPr="00934FF5">
        <w:rPr>
          <w:rFonts w:ascii="Times New Roman" w:hAnsi="Times New Roman" w:cs="Times New Roman"/>
        </w:rPr>
        <w:t>:</w:t>
      </w:r>
    </w:p>
    <w:p w:rsidR="007819F8" w:rsidRPr="00934FF5" w:rsidRDefault="004E1CBB" w:rsidP="009A0D31">
      <w:pPr>
        <w:jc w:val="both"/>
        <w:rPr>
          <w:rFonts w:ascii="Times New Roman" w:hAnsi="Times New Roman" w:cs="Times New Roman"/>
          <w:i/>
          <w:color w:val="0070C0"/>
        </w:rPr>
      </w:pPr>
      <w:r w:rsidRPr="00934FF5">
        <w:rPr>
          <w:rFonts w:ascii="Times New Roman" w:hAnsi="Times New Roman" w:cs="Times New Roman"/>
          <w:i/>
          <w:color w:val="0070C0"/>
        </w:rPr>
        <w:t xml:space="preserve">… la </w:t>
      </w:r>
      <w:r w:rsidR="007819F8" w:rsidRPr="00934FF5">
        <w:rPr>
          <w:rFonts w:ascii="Times New Roman" w:hAnsi="Times New Roman" w:cs="Times New Roman"/>
          <w:i/>
          <w:color w:val="0070C0"/>
        </w:rPr>
        <w:t>colonna E deve riportare la quantificazione del rischio di ciascun anno risultante dall’applicazione del tasso totale di errore previsto (COME PRESENTATO NEL RAPPORTO ANNUALE DI CONTROLLO) oppure l’applicazione del tasso di errore previsto o di un tasso fisso concordato con la Commissione a seguito della sua valutazione.</w:t>
      </w:r>
    </w:p>
    <w:p w:rsidR="0066228B" w:rsidRPr="00934FF5" w:rsidRDefault="00EA7D39" w:rsidP="009A0D31">
      <w:pPr>
        <w:jc w:val="both"/>
        <w:rPr>
          <w:rFonts w:ascii="Times New Roman" w:hAnsi="Times New Roman" w:cs="Times New Roman"/>
        </w:rPr>
      </w:pPr>
      <w:r w:rsidRPr="00934FF5">
        <w:rPr>
          <w:rFonts w:ascii="Times New Roman" w:hAnsi="Times New Roman" w:cs="Times New Roman"/>
        </w:rPr>
        <w:t>Indicazioni s</w:t>
      </w:r>
      <w:r w:rsidR="004E1CBB" w:rsidRPr="00934FF5">
        <w:rPr>
          <w:rFonts w:ascii="Times New Roman" w:hAnsi="Times New Roman" w:cs="Times New Roman"/>
        </w:rPr>
        <w:t>ulla redazione della tabella sono</w:t>
      </w:r>
      <w:r w:rsidRPr="00934FF5">
        <w:rPr>
          <w:rFonts w:ascii="Times New Roman" w:hAnsi="Times New Roman" w:cs="Times New Roman"/>
        </w:rPr>
        <w:t xml:space="preserve"> state fornite anche in occasione dell’</w:t>
      </w:r>
      <w:r w:rsidR="00F93767" w:rsidRPr="00934FF5">
        <w:rPr>
          <w:rFonts w:ascii="Times New Roman" w:hAnsi="Times New Roman" w:cs="Times New Roman"/>
        </w:rPr>
        <w:t>incontro di Milano dei giorni 21 e 22 ottobre 2015.</w:t>
      </w:r>
      <w:r w:rsidR="004E1CBB" w:rsidRPr="00934FF5">
        <w:rPr>
          <w:rFonts w:ascii="Times New Roman" w:hAnsi="Times New Roman" w:cs="Times New Roman"/>
        </w:rPr>
        <w:t xml:space="preserve"> </w:t>
      </w:r>
      <w:r w:rsidR="0066228B" w:rsidRPr="00934FF5">
        <w:rPr>
          <w:rFonts w:ascii="Times New Roman" w:hAnsi="Times New Roman" w:cs="Times New Roman"/>
        </w:rPr>
        <w:t xml:space="preserve">Il verbale dell’incontro riporta quanto segue: </w:t>
      </w:r>
    </w:p>
    <w:p w:rsidR="0066228B" w:rsidRPr="00934FF5" w:rsidRDefault="0066228B" w:rsidP="009A0D31">
      <w:pPr>
        <w:spacing w:before="120" w:after="120" w:line="240" w:lineRule="auto"/>
        <w:contextualSpacing/>
        <w:jc w:val="both"/>
        <w:rPr>
          <w:rFonts w:ascii="Times New Roman" w:hAnsi="Times New Roman" w:cs="Times New Roman"/>
          <w:bCs/>
          <w:color w:val="0070C0"/>
        </w:rPr>
      </w:pPr>
      <w:r w:rsidRPr="00934FF5">
        <w:rPr>
          <w:rFonts w:ascii="Times New Roman" w:hAnsi="Times New Roman" w:cs="Times New Roman"/>
          <w:bCs/>
          <w:color w:val="0070C0"/>
        </w:rPr>
        <w:t>E’ stato suggerito</w:t>
      </w:r>
      <w:r w:rsidR="004E1CBB" w:rsidRPr="00934FF5">
        <w:rPr>
          <w:rFonts w:ascii="Times New Roman" w:hAnsi="Times New Roman" w:cs="Times New Roman"/>
          <w:bCs/>
          <w:color w:val="0070C0"/>
        </w:rPr>
        <w:t xml:space="preserve"> (dalla CE)</w:t>
      </w:r>
      <w:r w:rsidRPr="00934FF5">
        <w:rPr>
          <w:rFonts w:ascii="Times New Roman" w:hAnsi="Times New Roman" w:cs="Times New Roman"/>
          <w:bCs/>
          <w:color w:val="0070C0"/>
        </w:rPr>
        <w:t xml:space="preserve"> di escludere tutto ciò che non ha a che fare con le rettifiche finanziarie, considerando solo quelle dovute </w:t>
      </w:r>
      <w:r w:rsidRPr="00934FF5">
        <w:rPr>
          <w:rFonts w:ascii="Times New Roman" w:hAnsi="Times New Roman" w:cs="Times New Roman"/>
          <w:bCs/>
          <w:iCs/>
          <w:color w:val="0070C0"/>
        </w:rPr>
        <w:t xml:space="preserve">all'attività di controllo </w:t>
      </w:r>
      <w:r w:rsidRPr="00934FF5">
        <w:rPr>
          <w:rFonts w:ascii="Times New Roman" w:hAnsi="Times New Roman" w:cs="Times New Roman"/>
          <w:bCs/>
          <w:color w:val="0070C0"/>
        </w:rPr>
        <w:t xml:space="preserve">e legate ad </w:t>
      </w:r>
      <w:r w:rsidRPr="00934FF5">
        <w:rPr>
          <w:rFonts w:ascii="Times New Roman" w:hAnsi="Times New Roman" w:cs="Times New Roman"/>
          <w:bCs/>
          <w:iCs/>
          <w:color w:val="0070C0"/>
        </w:rPr>
        <w:t xml:space="preserve">irregolarità </w:t>
      </w:r>
      <w:r w:rsidRPr="00934FF5">
        <w:rPr>
          <w:rFonts w:ascii="Times New Roman" w:hAnsi="Times New Roman" w:cs="Times New Roman"/>
          <w:bCs/>
          <w:color w:val="0070C0"/>
        </w:rPr>
        <w:t>riscontrate. Quindi, secondo la CE, devono essere esclusi gli errori materiali che non rientrano nei ritiri e recuperi, le rettifiche ex ante che intervengono prima della certificazione della spesa alla Commissione che non sono riportate dall’AdC ai sensi dell’art. 20, computando solo le rettifiche relative alla spesa certificata.</w:t>
      </w:r>
    </w:p>
    <w:p w:rsidR="0066228B" w:rsidRPr="00934FF5" w:rsidRDefault="0066228B" w:rsidP="009A0D31">
      <w:pPr>
        <w:jc w:val="both"/>
        <w:rPr>
          <w:rFonts w:ascii="Times New Roman" w:hAnsi="Times New Roman" w:cs="Times New Roman"/>
          <w:bCs/>
          <w:color w:val="0070C0"/>
        </w:rPr>
      </w:pPr>
    </w:p>
    <w:p w:rsidR="00C72DB8" w:rsidRPr="00934FF5" w:rsidRDefault="00D044A0" w:rsidP="009A0D31">
      <w:pPr>
        <w:jc w:val="both"/>
        <w:rPr>
          <w:rFonts w:ascii="Times New Roman" w:hAnsi="Times New Roman" w:cs="Times New Roman"/>
        </w:rPr>
      </w:pPr>
      <w:r w:rsidRPr="00934FF5">
        <w:rPr>
          <w:rFonts w:ascii="Times New Roman" w:hAnsi="Times New Roman" w:cs="Times New Roman"/>
        </w:rPr>
        <w:t xml:space="preserve">A titolo esemplificativo, si riporta il caso in cui </w:t>
      </w:r>
      <w:r w:rsidR="0066228B" w:rsidRPr="00934FF5">
        <w:rPr>
          <w:rFonts w:ascii="Times New Roman" w:hAnsi="Times New Roman" w:cs="Times New Roman"/>
        </w:rPr>
        <w:t>nella determinazione dell’errore</w:t>
      </w:r>
      <w:r w:rsidR="004E1CBB" w:rsidRPr="00934FF5">
        <w:rPr>
          <w:rFonts w:ascii="Times New Roman" w:hAnsi="Times New Roman" w:cs="Times New Roman"/>
        </w:rPr>
        <w:t xml:space="preserve"> proiettato inserito nella tabella finale del RAC di ogni anno</w:t>
      </w:r>
      <w:r w:rsidR="0066228B" w:rsidRPr="00934FF5">
        <w:rPr>
          <w:rFonts w:ascii="Times New Roman" w:hAnsi="Times New Roman" w:cs="Times New Roman"/>
        </w:rPr>
        <w:t xml:space="preserve"> </w:t>
      </w:r>
      <w:r w:rsidRPr="00934FF5">
        <w:rPr>
          <w:rFonts w:ascii="Times New Roman" w:hAnsi="Times New Roman" w:cs="Times New Roman"/>
        </w:rPr>
        <w:t>sono stati considerati</w:t>
      </w:r>
      <w:r w:rsidR="00DF5C19" w:rsidRPr="00934FF5">
        <w:rPr>
          <w:rFonts w:ascii="Times New Roman" w:hAnsi="Times New Roman" w:cs="Times New Roman"/>
        </w:rPr>
        <w:t xml:space="preserve"> </w:t>
      </w:r>
      <w:r w:rsidR="00CC5E39" w:rsidRPr="00934FF5">
        <w:rPr>
          <w:rFonts w:ascii="Times New Roman" w:hAnsi="Times New Roman" w:cs="Times New Roman"/>
        </w:rPr>
        <w:t xml:space="preserve">di norma </w:t>
      </w:r>
      <w:r w:rsidR="00DF5C19" w:rsidRPr="00934FF5">
        <w:rPr>
          <w:rFonts w:ascii="Times New Roman" w:hAnsi="Times New Roman" w:cs="Times New Roman"/>
        </w:rPr>
        <w:t>tutti gli errori rile</w:t>
      </w:r>
      <w:r w:rsidR="0066228B" w:rsidRPr="00934FF5">
        <w:rPr>
          <w:rFonts w:ascii="Times New Roman" w:hAnsi="Times New Roman" w:cs="Times New Roman"/>
        </w:rPr>
        <w:t>vati in occasione degli audit delle operazioni</w:t>
      </w:r>
      <w:r w:rsidR="00C72DB8" w:rsidRPr="00934FF5">
        <w:rPr>
          <w:rFonts w:ascii="Times New Roman" w:hAnsi="Times New Roman" w:cs="Times New Roman"/>
        </w:rPr>
        <w:t xml:space="preserve"> ad eccezione dei piccoli errori materiali</w:t>
      </w:r>
      <w:r w:rsidR="0066228B" w:rsidRPr="00934FF5">
        <w:rPr>
          <w:rFonts w:ascii="Times New Roman" w:hAnsi="Times New Roman" w:cs="Times New Roman"/>
        </w:rPr>
        <w:t>, senza distinguere tra quelli che sarebbero entrati nella Dichiarazione dei ritiri/recuperi da qu</w:t>
      </w:r>
      <w:r w:rsidR="006210B0" w:rsidRPr="00934FF5">
        <w:rPr>
          <w:rFonts w:ascii="Times New Roman" w:hAnsi="Times New Roman" w:cs="Times New Roman"/>
        </w:rPr>
        <w:t>elli che</w:t>
      </w:r>
      <w:r w:rsidR="00FC7113" w:rsidRPr="00934FF5">
        <w:rPr>
          <w:rFonts w:ascii="Times New Roman" w:hAnsi="Times New Roman" w:cs="Times New Roman"/>
        </w:rPr>
        <w:t xml:space="preserve"> non </w:t>
      </w:r>
      <w:r w:rsidR="006210B0" w:rsidRPr="00934FF5">
        <w:rPr>
          <w:rFonts w:ascii="Times New Roman" w:hAnsi="Times New Roman" w:cs="Times New Roman"/>
        </w:rPr>
        <w:t>vi sarebbero rientrati</w:t>
      </w:r>
      <w:r w:rsidR="00DF5C19" w:rsidRPr="00934FF5">
        <w:rPr>
          <w:rFonts w:ascii="Times New Roman" w:hAnsi="Times New Roman" w:cs="Times New Roman"/>
        </w:rPr>
        <w:t xml:space="preserve">. </w:t>
      </w:r>
    </w:p>
    <w:p w:rsidR="00C72DB8" w:rsidRPr="00934FF5" w:rsidRDefault="00C72DB8" w:rsidP="009A0D31">
      <w:pPr>
        <w:jc w:val="both"/>
        <w:rPr>
          <w:rFonts w:ascii="Times New Roman" w:hAnsi="Times New Roman" w:cs="Times New Roman"/>
        </w:rPr>
      </w:pPr>
      <w:r w:rsidRPr="00934FF5">
        <w:rPr>
          <w:rFonts w:ascii="Times New Roman" w:hAnsi="Times New Roman" w:cs="Times New Roman"/>
        </w:rPr>
        <w:t xml:space="preserve">Si </w:t>
      </w:r>
      <w:r w:rsidR="00E15B44" w:rsidRPr="00934FF5">
        <w:rPr>
          <w:rFonts w:ascii="Times New Roman" w:hAnsi="Times New Roman" w:cs="Times New Roman"/>
        </w:rPr>
        <w:t xml:space="preserve">riportano a titolo esemplificativo </w:t>
      </w:r>
      <w:r w:rsidR="00CC5E39" w:rsidRPr="00934FF5">
        <w:rPr>
          <w:rFonts w:ascii="Times New Roman" w:hAnsi="Times New Roman" w:cs="Times New Roman"/>
        </w:rPr>
        <w:t xml:space="preserve">due </w:t>
      </w:r>
      <w:r w:rsidR="00E15B44" w:rsidRPr="00934FF5">
        <w:rPr>
          <w:rFonts w:ascii="Times New Roman" w:hAnsi="Times New Roman" w:cs="Times New Roman"/>
        </w:rPr>
        <w:t>fattispecie</w:t>
      </w:r>
      <w:r w:rsidR="00CC5E39" w:rsidRPr="00934FF5">
        <w:rPr>
          <w:rFonts w:ascii="Times New Roman" w:hAnsi="Times New Roman" w:cs="Times New Roman"/>
        </w:rPr>
        <w:t>. Nella prima rientrano casi in cui importi non decertificati e non classificati come ritiri/recuperi sono rientrati nel tasso di errore proiettato, nella seconda rientrano casi di spese decertificate</w:t>
      </w:r>
      <w:r w:rsidR="005A7BD2" w:rsidRPr="00934FF5">
        <w:rPr>
          <w:rFonts w:ascii="Times New Roman" w:hAnsi="Times New Roman" w:cs="Times New Roman"/>
        </w:rPr>
        <w:t>,</w:t>
      </w:r>
      <w:r w:rsidR="00CC5E39" w:rsidRPr="00934FF5">
        <w:rPr>
          <w:rFonts w:ascii="Times New Roman" w:hAnsi="Times New Roman" w:cs="Times New Roman"/>
        </w:rPr>
        <w:t xml:space="preserve"> trattate nel tasso di errore proiettato ma non classificate come ritiri/recuperi</w:t>
      </w:r>
      <w:r w:rsidR="00E15B44" w:rsidRPr="00934FF5">
        <w:rPr>
          <w:rFonts w:ascii="Times New Roman" w:hAnsi="Times New Roman" w:cs="Times New Roman"/>
        </w:rPr>
        <w:t>:</w:t>
      </w:r>
    </w:p>
    <w:p w:rsidR="0066228B" w:rsidRPr="00934FF5" w:rsidRDefault="004F4FFB" w:rsidP="007A4731">
      <w:pPr>
        <w:pStyle w:val="Paragrafoelenco"/>
        <w:numPr>
          <w:ilvl w:val="0"/>
          <w:numId w:val="7"/>
        </w:numPr>
        <w:jc w:val="both"/>
        <w:rPr>
          <w:rFonts w:ascii="Times New Roman" w:hAnsi="Times New Roman" w:cs="Times New Roman"/>
        </w:rPr>
      </w:pPr>
      <w:r w:rsidRPr="00934FF5">
        <w:rPr>
          <w:rFonts w:ascii="Times New Roman" w:hAnsi="Times New Roman" w:cs="Times New Roman"/>
        </w:rPr>
        <w:t xml:space="preserve">In relazione </w:t>
      </w:r>
      <w:r w:rsidR="00E15B44" w:rsidRPr="00934FF5">
        <w:rPr>
          <w:rFonts w:ascii="Times New Roman" w:hAnsi="Times New Roman" w:cs="Times New Roman"/>
        </w:rPr>
        <w:t>alle spese cuscinetto</w:t>
      </w:r>
      <w:r w:rsidRPr="00934FF5">
        <w:rPr>
          <w:rFonts w:ascii="Times New Roman" w:hAnsi="Times New Roman" w:cs="Times New Roman"/>
        </w:rPr>
        <w:t>,</w:t>
      </w:r>
      <w:r w:rsidR="00E15B44" w:rsidRPr="00934FF5">
        <w:rPr>
          <w:rFonts w:ascii="Times New Roman" w:hAnsi="Times New Roman" w:cs="Times New Roman"/>
        </w:rPr>
        <w:t xml:space="preserve"> </w:t>
      </w:r>
      <w:r w:rsidRPr="00934FF5">
        <w:rPr>
          <w:rFonts w:ascii="Times New Roman" w:hAnsi="Times New Roman" w:cs="Times New Roman"/>
        </w:rPr>
        <w:t>queste sono state trattate in p</w:t>
      </w:r>
      <w:r w:rsidR="005A7BD2" w:rsidRPr="00934FF5">
        <w:rPr>
          <w:rFonts w:ascii="Times New Roman" w:hAnsi="Times New Roman" w:cs="Times New Roman"/>
        </w:rPr>
        <w:t>iù linee guida comunitarie e</w:t>
      </w:r>
      <w:r w:rsidRPr="00934FF5">
        <w:rPr>
          <w:rFonts w:ascii="Times New Roman" w:hAnsi="Times New Roman" w:cs="Times New Roman"/>
        </w:rPr>
        <w:t xml:space="preserve"> ne sono derivate negli anni indicazioni diverse, o meglio definite</w:t>
      </w:r>
      <w:r w:rsidR="00D819B0" w:rsidRPr="00934FF5">
        <w:rPr>
          <w:rFonts w:ascii="Times New Roman" w:hAnsi="Times New Roman" w:cs="Times New Roman"/>
        </w:rPr>
        <w:t>,</w:t>
      </w:r>
      <w:r w:rsidRPr="00934FF5">
        <w:rPr>
          <w:rFonts w:ascii="Times New Roman" w:hAnsi="Times New Roman" w:cs="Times New Roman"/>
        </w:rPr>
        <w:t xml:space="preserve"> di azione. Nell’obiettivo di tenere un comportamento coerente nel tempo fino al RAC 2014 l’AdA ha </w:t>
      </w:r>
      <w:r w:rsidR="00D819B0" w:rsidRPr="00934FF5">
        <w:rPr>
          <w:rFonts w:ascii="Times New Roman" w:hAnsi="Times New Roman" w:cs="Times New Roman"/>
        </w:rPr>
        <w:t xml:space="preserve">sempre </w:t>
      </w:r>
      <w:r w:rsidR="00DF5C19" w:rsidRPr="00934FF5">
        <w:rPr>
          <w:rFonts w:ascii="Times New Roman" w:hAnsi="Times New Roman" w:cs="Times New Roman"/>
        </w:rPr>
        <w:t>conteggiat</w:t>
      </w:r>
      <w:r w:rsidR="00D819B0" w:rsidRPr="00934FF5">
        <w:rPr>
          <w:rFonts w:ascii="Times New Roman" w:hAnsi="Times New Roman" w:cs="Times New Roman"/>
        </w:rPr>
        <w:t>o</w:t>
      </w:r>
      <w:r w:rsidR="00DF5C19" w:rsidRPr="00934FF5">
        <w:rPr>
          <w:rFonts w:ascii="Times New Roman" w:hAnsi="Times New Roman" w:cs="Times New Roman"/>
        </w:rPr>
        <w:t xml:space="preserve"> integralmente</w:t>
      </w:r>
      <w:r w:rsidR="00D819B0" w:rsidRPr="00934FF5">
        <w:rPr>
          <w:rFonts w:ascii="Times New Roman" w:hAnsi="Times New Roman" w:cs="Times New Roman"/>
        </w:rPr>
        <w:t>,</w:t>
      </w:r>
      <w:r w:rsidR="00DF5C19" w:rsidRPr="00934FF5">
        <w:rPr>
          <w:rFonts w:ascii="Times New Roman" w:hAnsi="Times New Roman" w:cs="Times New Roman"/>
        </w:rPr>
        <w:t xml:space="preserve"> ai fini del calcolo del tasso di errore proiettato</w:t>
      </w:r>
      <w:r w:rsidR="00D819B0" w:rsidRPr="00934FF5">
        <w:rPr>
          <w:rFonts w:ascii="Times New Roman" w:hAnsi="Times New Roman" w:cs="Times New Roman"/>
        </w:rPr>
        <w:t>, gli importi irregolari compensati con spesa cuscinetto pur non avendo proceduto per questi alla decertificazione né sono rientrati ovviamente nella dichiarazione dei ritiri/recuperi</w:t>
      </w:r>
      <w:r w:rsidR="00DF5C19" w:rsidRPr="00934FF5">
        <w:rPr>
          <w:rFonts w:ascii="Times New Roman" w:hAnsi="Times New Roman" w:cs="Times New Roman"/>
        </w:rPr>
        <w:t>.</w:t>
      </w:r>
      <w:r w:rsidR="00D819B0" w:rsidRPr="00934FF5">
        <w:rPr>
          <w:rFonts w:ascii="Times New Roman" w:hAnsi="Times New Roman" w:cs="Times New Roman"/>
        </w:rPr>
        <w:t xml:space="preserve"> Solo nel RAC 2015 si è tenuto un comportamento coerente con quanto indicato dalla Commissione: gli importi irregolari coperti da spesa cuscinetto non sono rientrati nel tasso di errore, non sono stati decertificati e non sono rientrati nella dichiarazione dei ritiri/recuperi.</w:t>
      </w:r>
    </w:p>
    <w:p w:rsidR="005A7BD2" w:rsidRPr="00934FF5" w:rsidRDefault="005A7BD2" w:rsidP="007A4731">
      <w:pPr>
        <w:pStyle w:val="Paragrafoelenco"/>
        <w:numPr>
          <w:ilvl w:val="0"/>
          <w:numId w:val="7"/>
        </w:numPr>
        <w:jc w:val="both"/>
        <w:rPr>
          <w:rFonts w:ascii="Times New Roman" w:hAnsi="Times New Roman" w:cs="Times New Roman"/>
        </w:rPr>
      </w:pPr>
      <w:r w:rsidRPr="00934FF5">
        <w:rPr>
          <w:rFonts w:ascii="Times New Roman" w:hAnsi="Times New Roman" w:cs="Times New Roman"/>
        </w:rPr>
        <w:lastRenderedPageBreak/>
        <w:t xml:space="preserve">E’ questo il caso del FSE in particolare, in cui i controlli di audit avvengono </w:t>
      </w:r>
      <w:r w:rsidR="00DF1F9B" w:rsidRPr="00934FF5">
        <w:rPr>
          <w:rFonts w:ascii="Times New Roman" w:hAnsi="Times New Roman" w:cs="Times New Roman"/>
        </w:rPr>
        <w:t>spesso</w:t>
      </w:r>
      <w:r w:rsidRPr="00934FF5">
        <w:rPr>
          <w:rFonts w:ascii="Times New Roman" w:hAnsi="Times New Roman" w:cs="Times New Roman"/>
        </w:rPr>
        <w:t xml:space="preserve"> in itinere. Nell’eventualità in cui si riscontra una spesa non ammissibile l’AdA impone all’AdG l’immediata decertificazione dell’importo. Considerando che nel frattempo, quasi sempre, l’AdG ha ricevuto nel frattempo una o più richieste di rimborso da parte del beneficiario</w:t>
      </w:r>
      <w:r w:rsidR="00A00156" w:rsidRPr="00934FF5">
        <w:rPr>
          <w:rFonts w:ascii="Times New Roman" w:hAnsi="Times New Roman" w:cs="Times New Roman"/>
        </w:rPr>
        <w:t xml:space="preserve"> la spesa negativa è abbondantemente coperta da quella positiva. Ci si ritrova in presenza quindi di una decertificazione ma l’importo decertificato, già compensato da spesa positiva non sarà classificato come ritiro sia nel caso in cui il beneficiario perverrà a conclusione dell’operazione a rendicontare o non rendicontare il 100% dell’importo concesso. Tale importo rientrerà comunque a pieno titolo nel tasso di errore proiettato.</w:t>
      </w:r>
    </w:p>
    <w:p w:rsidR="0066228B" w:rsidRPr="00934FF5" w:rsidRDefault="0066228B" w:rsidP="009A0D31">
      <w:pPr>
        <w:jc w:val="both"/>
        <w:rPr>
          <w:rFonts w:ascii="Times New Roman" w:hAnsi="Times New Roman" w:cs="Times New Roman"/>
          <w:b/>
          <w:bCs/>
          <w:u w:val="single"/>
        </w:rPr>
      </w:pPr>
      <w:r w:rsidRPr="00934FF5">
        <w:rPr>
          <w:rFonts w:ascii="Times New Roman" w:hAnsi="Times New Roman" w:cs="Times New Roman"/>
          <w:b/>
          <w:bCs/>
          <w:u w:val="single"/>
        </w:rPr>
        <w:t xml:space="preserve">Si richiede pertanto se nella compilazione della tabella del rapporto finale, alla colonna </w:t>
      </w:r>
      <w:r w:rsidR="007A4731" w:rsidRPr="00934FF5">
        <w:rPr>
          <w:rFonts w:ascii="Times New Roman" w:hAnsi="Times New Roman" w:cs="Times New Roman"/>
          <w:b/>
          <w:bCs/>
          <w:u w:val="single"/>
        </w:rPr>
        <w:t>D</w:t>
      </w:r>
      <w:r w:rsidRPr="00934FF5">
        <w:rPr>
          <w:rFonts w:ascii="Times New Roman" w:hAnsi="Times New Roman" w:cs="Times New Roman"/>
          <w:b/>
          <w:bCs/>
          <w:u w:val="single"/>
        </w:rPr>
        <w:t xml:space="preserve"> possa essere inserito un dato diverso da quanto riportato nei RAC dei vari anni, </w:t>
      </w:r>
      <w:r w:rsidR="00C5268D" w:rsidRPr="00934FF5">
        <w:rPr>
          <w:rFonts w:ascii="Times New Roman" w:hAnsi="Times New Roman" w:cs="Times New Roman"/>
          <w:b/>
          <w:bCs/>
          <w:u w:val="single"/>
        </w:rPr>
        <w:t xml:space="preserve">e quale comportamento sia corretto tenere nel caso delle fattispecie sopra riportate. </w:t>
      </w:r>
    </w:p>
    <w:p w:rsidR="007A4731" w:rsidRPr="00934FF5" w:rsidRDefault="007A4731" w:rsidP="009A0D31">
      <w:pPr>
        <w:jc w:val="both"/>
        <w:rPr>
          <w:rFonts w:ascii="Times New Roman" w:hAnsi="Times New Roman" w:cs="Times New Roman"/>
          <w:b/>
          <w:bCs/>
          <w:u w:val="single"/>
        </w:rPr>
      </w:pPr>
    </w:p>
    <w:p w:rsidR="007A4731" w:rsidRPr="00934FF5" w:rsidRDefault="007A4731" w:rsidP="007A4731">
      <w:pPr>
        <w:ind w:left="720"/>
        <w:jc w:val="both"/>
        <w:rPr>
          <w:rFonts w:ascii="Times New Roman" w:hAnsi="Times New Roman" w:cs="Times New Roman"/>
        </w:rPr>
      </w:pPr>
      <w:r w:rsidRPr="00934FF5">
        <w:rPr>
          <w:rFonts w:ascii="Times New Roman" w:hAnsi="Times New Roman" w:cs="Times New Roman"/>
        </w:rPr>
        <w:t>2. determinazione del rischio cumulato annuo</w:t>
      </w:r>
    </w:p>
    <w:p w:rsidR="007A4731" w:rsidRPr="00934FF5" w:rsidRDefault="007A4731" w:rsidP="007A4731">
      <w:pPr>
        <w:jc w:val="both"/>
        <w:rPr>
          <w:rFonts w:ascii="Times New Roman" w:hAnsi="Times New Roman" w:cs="Times New Roman"/>
          <w:bCs/>
        </w:rPr>
      </w:pPr>
      <w:r w:rsidRPr="00934FF5">
        <w:rPr>
          <w:rFonts w:ascii="Times New Roman" w:hAnsi="Times New Roman" w:cs="Times New Roman"/>
        </w:rPr>
        <w:t xml:space="preserve">Durante l’incontro di Milano tra </w:t>
      </w:r>
      <w:r w:rsidRPr="00934FF5">
        <w:rPr>
          <w:rFonts w:ascii="Times New Roman" w:hAnsi="Times New Roman" w:cs="Times New Roman"/>
          <w:bCs/>
        </w:rPr>
        <w:t>Autorità di Audit, Commissione Europea e IGRUE dell’ottobre 2015, in occasione della presentazione condotta dalla Commissione relativamente alla determinazione del tasso di rischio residuo alla chiusura, è stata posta particolare attenzione alla determinazione del rischio residuo cumulato in corrispondenza di ogni anno della Programmazione.</w:t>
      </w:r>
    </w:p>
    <w:p w:rsidR="007A4731" w:rsidRPr="00934FF5" w:rsidRDefault="007A4731" w:rsidP="007A4731">
      <w:pPr>
        <w:jc w:val="both"/>
        <w:rPr>
          <w:rFonts w:ascii="Times New Roman" w:hAnsi="Times New Roman" w:cs="Times New Roman"/>
          <w:bCs/>
        </w:rPr>
      </w:pPr>
      <w:r w:rsidRPr="00934FF5">
        <w:rPr>
          <w:rFonts w:ascii="Times New Roman" w:hAnsi="Times New Roman" w:cs="Times New Roman"/>
          <w:bCs/>
        </w:rPr>
        <w:t xml:space="preserve">E’ stato posto il evidenza il fatto che in corrispondenza di un rischio residuo annuo negativo (colonna G), in nessun caso il rischio residuo cumulato corrispondente possa essere minore di zero. </w:t>
      </w:r>
    </w:p>
    <w:p w:rsidR="007A4731" w:rsidRPr="00934FF5" w:rsidRDefault="007A4731" w:rsidP="007A4731">
      <w:pPr>
        <w:spacing w:before="120" w:after="120" w:line="240" w:lineRule="auto"/>
        <w:contextualSpacing/>
        <w:jc w:val="both"/>
        <w:rPr>
          <w:rFonts w:ascii="Times New Roman" w:hAnsi="Times New Roman" w:cs="Times New Roman"/>
          <w:bCs/>
        </w:rPr>
      </w:pPr>
      <w:r w:rsidRPr="00934FF5">
        <w:rPr>
          <w:rFonts w:ascii="Times New Roman" w:hAnsi="Times New Roman" w:cs="Times New Roman"/>
          <w:bCs/>
        </w:rPr>
        <w:t xml:space="preserve">In proposito il verbale dell’incontro di Milano cita testualmente: </w:t>
      </w:r>
      <w:r w:rsidRPr="00934FF5">
        <w:rPr>
          <w:rFonts w:ascii="Times New Roman" w:hAnsi="Times New Roman" w:cs="Times New Roman"/>
          <w:bCs/>
          <w:i/>
        </w:rPr>
        <w:t>“La CE ha chiarito che i rischi negativi devono essere azzerati, poiché una correzione applicata in un dato anno può contribuire a ridurre i rischi identificati nel passato ma non può costituire un "bonus" per il futuro. A tal proposito è stato ricordato l’approccio dell’ECA, secondo il quale, appunto, una correzione fatta in un dato anno è una rettifica per gli anni precedenti ma non per l’anno successivo”.</w:t>
      </w:r>
    </w:p>
    <w:p w:rsidR="007A4731" w:rsidRPr="00934FF5" w:rsidRDefault="007A4731" w:rsidP="007A4731">
      <w:pPr>
        <w:spacing w:before="120" w:after="120" w:line="240" w:lineRule="auto"/>
        <w:contextualSpacing/>
        <w:jc w:val="both"/>
        <w:rPr>
          <w:rFonts w:ascii="Times New Roman" w:hAnsi="Times New Roman" w:cs="Times New Roman"/>
          <w:bCs/>
        </w:rPr>
      </w:pPr>
    </w:p>
    <w:p w:rsidR="007A4731" w:rsidRPr="00934FF5" w:rsidRDefault="007A4731" w:rsidP="007A4731">
      <w:pPr>
        <w:spacing w:before="120" w:after="120" w:line="240" w:lineRule="auto"/>
        <w:contextualSpacing/>
        <w:jc w:val="both"/>
        <w:rPr>
          <w:rFonts w:ascii="Times New Roman" w:hAnsi="Times New Roman" w:cs="Times New Roman"/>
          <w:bCs/>
        </w:rPr>
      </w:pPr>
      <w:r w:rsidRPr="00934FF5">
        <w:rPr>
          <w:rFonts w:ascii="Times New Roman" w:hAnsi="Times New Roman" w:cs="Times New Roman"/>
          <w:bCs/>
        </w:rPr>
        <w:t xml:space="preserve">Le Autorità di Audit in questi mesi stanno acquisendo ed elaborando gli elementi necessari alla predisposizione dei documenti di Chiusura. Per quanto riguarda appunto la determinazione del rischio residuo finale, risulta </w:t>
      </w:r>
      <w:r w:rsidRPr="00934FF5">
        <w:rPr>
          <w:rFonts w:ascii="Times New Roman" w:hAnsi="Times New Roman" w:cs="Times New Roman"/>
          <w:bCs/>
          <w:u w:val="single"/>
        </w:rPr>
        <w:t>in diversi casi che il rischio residuo annuo abbia un importo negativo</w:t>
      </w:r>
      <w:r w:rsidRPr="00934FF5">
        <w:rPr>
          <w:rFonts w:ascii="Times New Roman" w:hAnsi="Times New Roman" w:cs="Times New Roman"/>
          <w:bCs/>
        </w:rPr>
        <w:t xml:space="preserve">. Matematicamente ciò è dato dal fatto che l’importo delle correzioni finanziarie in quel dato anno (colonna F) è maggiore del rischio dell’anno (colonna E), e ciò può accadere anche per importi di elevato ordine di grandezza. </w:t>
      </w:r>
    </w:p>
    <w:p w:rsidR="007A4731" w:rsidRPr="00934FF5" w:rsidRDefault="007A4731" w:rsidP="007A4731">
      <w:pPr>
        <w:spacing w:before="120" w:after="120" w:line="240" w:lineRule="auto"/>
        <w:contextualSpacing/>
        <w:jc w:val="both"/>
        <w:rPr>
          <w:rFonts w:ascii="Times New Roman" w:hAnsi="Times New Roman" w:cs="Times New Roman"/>
          <w:bCs/>
        </w:rPr>
      </w:pPr>
      <w:r w:rsidRPr="00934FF5">
        <w:rPr>
          <w:rFonts w:ascii="Times New Roman" w:hAnsi="Times New Roman" w:cs="Times New Roman"/>
          <w:bCs/>
        </w:rPr>
        <w:t xml:space="preserve">Dall’analisi del dato è emerso che in alcune circostanze ciò è determinato dal fatto che parte rilevante delle correzioni finanziarie apportate erano dovute ad </w:t>
      </w:r>
      <w:r w:rsidRPr="00934FF5">
        <w:rPr>
          <w:rFonts w:ascii="Times New Roman" w:hAnsi="Times New Roman" w:cs="Times New Roman"/>
          <w:bCs/>
          <w:u w:val="single"/>
        </w:rPr>
        <w:t>esiti di audit condotti</w:t>
      </w:r>
      <w:r w:rsidRPr="00934FF5">
        <w:rPr>
          <w:rFonts w:ascii="Times New Roman" w:hAnsi="Times New Roman" w:cs="Times New Roman"/>
          <w:bCs/>
        </w:rPr>
        <w:t xml:space="preserve"> </w:t>
      </w:r>
      <w:r w:rsidRPr="00934FF5">
        <w:rPr>
          <w:rFonts w:ascii="Times New Roman" w:hAnsi="Times New Roman" w:cs="Times New Roman"/>
          <w:bCs/>
          <w:u w:val="single"/>
        </w:rPr>
        <w:t>in anni precedenti</w:t>
      </w:r>
      <w:r w:rsidRPr="00934FF5">
        <w:rPr>
          <w:rFonts w:ascii="Times New Roman" w:hAnsi="Times New Roman" w:cs="Times New Roman"/>
          <w:bCs/>
        </w:rPr>
        <w:t>, non inseriti nella dichiarazione ritiri/recuperi degli anni in cui i controlli erano stati svolti.</w:t>
      </w:r>
    </w:p>
    <w:p w:rsidR="007A4731" w:rsidRPr="00934FF5" w:rsidRDefault="007A4731" w:rsidP="007A4731">
      <w:pPr>
        <w:spacing w:before="120" w:after="120" w:line="240" w:lineRule="auto"/>
        <w:contextualSpacing/>
        <w:jc w:val="both"/>
        <w:rPr>
          <w:rFonts w:ascii="Times New Roman" w:hAnsi="Times New Roman" w:cs="Times New Roman"/>
          <w:bCs/>
        </w:rPr>
      </w:pPr>
    </w:p>
    <w:p w:rsidR="0066228B" w:rsidRPr="00934FF5" w:rsidRDefault="007A4731" w:rsidP="000E1371">
      <w:pPr>
        <w:jc w:val="both"/>
        <w:rPr>
          <w:rFonts w:ascii="Times New Roman" w:hAnsi="Times New Roman" w:cs="Times New Roman"/>
        </w:rPr>
      </w:pPr>
      <w:r w:rsidRPr="00934FF5">
        <w:rPr>
          <w:rFonts w:ascii="Times New Roman" w:hAnsi="Times New Roman" w:cs="Times New Roman"/>
        </w:rPr>
        <w:t xml:space="preserve">Ciò che si richiede pertanto alla Commissione è che solo in corrispondenza di questa circostanza, e cioè quando si tratti di rettifiche dovute ad esiti di audit di anni precedenti - che hanno contribuito tra l’altro alla determinazione del tasso di errore di quegli anni stessi - la relativa quota negativa di rischio residuo annuo possa </w:t>
      </w:r>
      <w:r w:rsidRPr="00934FF5">
        <w:rPr>
          <w:rFonts w:ascii="Times New Roman" w:hAnsi="Times New Roman" w:cs="Times New Roman"/>
          <w:u w:val="single"/>
        </w:rPr>
        <w:t>concorrere algebricamente</w:t>
      </w:r>
      <w:r w:rsidRPr="00934FF5">
        <w:rPr>
          <w:rFonts w:ascii="Times New Roman" w:hAnsi="Times New Roman" w:cs="Times New Roman"/>
        </w:rPr>
        <w:t xml:space="preserve"> alla determinazione del rischio residuo </w:t>
      </w:r>
      <w:r w:rsidRPr="00934FF5">
        <w:rPr>
          <w:rFonts w:ascii="Times New Roman" w:hAnsi="Times New Roman" w:cs="Times New Roman"/>
          <w:u w:val="single"/>
        </w:rPr>
        <w:t>cumulato</w:t>
      </w:r>
      <w:r w:rsidRPr="00934FF5">
        <w:rPr>
          <w:rFonts w:ascii="Times New Roman" w:hAnsi="Times New Roman" w:cs="Times New Roman"/>
        </w:rPr>
        <w:t xml:space="preserve"> annuo.</w:t>
      </w:r>
    </w:p>
    <w:sectPr w:rsidR="0066228B" w:rsidRPr="00934FF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B705A"/>
    <w:multiLevelType w:val="hybridMultilevel"/>
    <w:tmpl w:val="BA502E8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1455C0C"/>
    <w:multiLevelType w:val="hybridMultilevel"/>
    <w:tmpl w:val="BCC0822A"/>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 w15:restartNumberingAfterBreak="0">
    <w:nsid w:val="090A6C74"/>
    <w:multiLevelType w:val="hybridMultilevel"/>
    <w:tmpl w:val="9EE2C528"/>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 w15:restartNumberingAfterBreak="0">
    <w:nsid w:val="2DDF02D2"/>
    <w:multiLevelType w:val="hybridMultilevel"/>
    <w:tmpl w:val="21E817C4"/>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4" w15:restartNumberingAfterBreak="0">
    <w:nsid w:val="30305A97"/>
    <w:multiLevelType w:val="hybridMultilevel"/>
    <w:tmpl w:val="12B4D4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2714F59"/>
    <w:multiLevelType w:val="hybridMultilevel"/>
    <w:tmpl w:val="8DD223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69055BA"/>
    <w:multiLevelType w:val="hybridMultilevel"/>
    <w:tmpl w:val="0BC6F604"/>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6"/>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869"/>
    <w:rsid w:val="00066E46"/>
    <w:rsid w:val="000706E2"/>
    <w:rsid w:val="000E1371"/>
    <w:rsid w:val="001639FD"/>
    <w:rsid w:val="00251869"/>
    <w:rsid w:val="002B2AA1"/>
    <w:rsid w:val="003A712D"/>
    <w:rsid w:val="003D23EA"/>
    <w:rsid w:val="004C4868"/>
    <w:rsid w:val="004E1CBB"/>
    <w:rsid w:val="004F4FFB"/>
    <w:rsid w:val="005A7BD2"/>
    <w:rsid w:val="006210B0"/>
    <w:rsid w:val="00622B05"/>
    <w:rsid w:val="0066228B"/>
    <w:rsid w:val="007317C2"/>
    <w:rsid w:val="00731FF7"/>
    <w:rsid w:val="007819F8"/>
    <w:rsid w:val="007A4731"/>
    <w:rsid w:val="00843430"/>
    <w:rsid w:val="00907A2A"/>
    <w:rsid w:val="009157C3"/>
    <w:rsid w:val="00934FF5"/>
    <w:rsid w:val="009A0D31"/>
    <w:rsid w:val="009A7EB3"/>
    <w:rsid w:val="00A00156"/>
    <w:rsid w:val="00A221D6"/>
    <w:rsid w:val="00AC2168"/>
    <w:rsid w:val="00BC4771"/>
    <w:rsid w:val="00BD26E4"/>
    <w:rsid w:val="00BE046B"/>
    <w:rsid w:val="00C34E1C"/>
    <w:rsid w:val="00C5268D"/>
    <w:rsid w:val="00C72DB8"/>
    <w:rsid w:val="00CC5E39"/>
    <w:rsid w:val="00CF091D"/>
    <w:rsid w:val="00D044A0"/>
    <w:rsid w:val="00D819B0"/>
    <w:rsid w:val="00DF1F9B"/>
    <w:rsid w:val="00DF5C19"/>
    <w:rsid w:val="00E15B44"/>
    <w:rsid w:val="00E23007"/>
    <w:rsid w:val="00EA7D39"/>
    <w:rsid w:val="00F501D7"/>
    <w:rsid w:val="00F93767"/>
    <w:rsid w:val="00FC71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BD36E7-F2B9-475E-83C2-27513702D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15B44"/>
    <w:pPr>
      <w:ind w:left="720"/>
      <w:contextualSpacing/>
    </w:pPr>
  </w:style>
  <w:style w:type="paragraph" w:styleId="Testofumetto">
    <w:name w:val="Balloon Text"/>
    <w:basedOn w:val="Normale"/>
    <w:link w:val="TestofumettoCarattere"/>
    <w:uiPriority w:val="99"/>
    <w:semiHidden/>
    <w:unhideWhenUsed/>
    <w:rsid w:val="00E15B4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15B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048122">
      <w:bodyDiv w:val="1"/>
      <w:marLeft w:val="0"/>
      <w:marRight w:val="0"/>
      <w:marTop w:val="0"/>
      <w:marBottom w:val="0"/>
      <w:divBdr>
        <w:top w:val="none" w:sz="0" w:space="0" w:color="auto"/>
        <w:left w:val="none" w:sz="0" w:space="0" w:color="auto"/>
        <w:bottom w:val="none" w:sz="0" w:space="0" w:color="auto"/>
        <w:right w:val="none" w:sz="0" w:space="0" w:color="auto"/>
      </w:divBdr>
    </w:div>
    <w:div w:id="1489176136">
      <w:bodyDiv w:val="1"/>
      <w:marLeft w:val="0"/>
      <w:marRight w:val="0"/>
      <w:marTop w:val="0"/>
      <w:marBottom w:val="0"/>
      <w:divBdr>
        <w:top w:val="none" w:sz="0" w:space="0" w:color="auto"/>
        <w:left w:val="none" w:sz="0" w:space="0" w:color="auto"/>
        <w:bottom w:val="none" w:sz="0" w:space="0" w:color="auto"/>
        <w:right w:val="none" w:sz="0" w:space="0" w:color="auto"/>
      </w:divBdr>
    </w:div>
    <w:div w:id="150539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DFC2396-2CF8-4611-8BE3-BE5EE31F4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1012</Words>
  <Characters>5773</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Regione Emilia-Romagna</Company>
  <LinksUpToDate>false</LinksUpToDate>
  <CharactersWithSpaces>6772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Caniato Maria Francesca</dc:creator>
  <cp:lastModifiedBy>Rosario Zanni</cp:lastModifiedBy>
  <cp:revision>5</cp:revision>
  <cp:lastPrinted>2016-09-22T14:20:00Z</cp:lastPrinted>
  <dcterms:created xsi:type="dcterms:W3CDTF">2016-09-23T07:56:00Z</dcterms:created>
  <dcterms:modified xsi:type="dcterms:W3CDTF">2016-09-23T08:10:00Z</dcterms:modified>
</cp:coreProperties>
</file>