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4C" w:rsidRDefault="00C8424C" w:rsidP="00C8424C">
      <w:pPr>
        <w:widowControl w:val="0"/>
        <w:tabs>
          <w:tab w:val="left" w:pos="8789"/>
        </w:tabs>
        <w:spacing w:after="0"/>
        <w:ind w:left="851" w:right="992"/>
        <w:jc w:val="right"/>
        <w:rPr>
          <w:rFonts w:ascii="Times New Roman" w:hAnsi="Times New Roman" w:cs="Times New Roman"/>
          <w:b/>
          <w:smallCaps/>
          <w:spacing w:val="-6"/>
        </w:rPr>
      </w:pPr>
      <w:bookmarkStart w:id="0" w:name="_GoBack"/>
      <w:bookmarkEnd w:id="0"/>
      <w:r>
        <w:rPr>
          <w:rFonts w:ascii="Times New Roman" w:hAnsi="Times New Roman" w:cs="Times New Roman"/>
          <w:b/>
          <w:smallCaps/>
          <w:spacing w:val="-6"/>
        </w:rPr>
        <w:t>Allegato “A”</w:t>
      </w:r>
    </w:p>
    <w:p w:rsidR="00C8424C" w:rsidRDefault="00C8424C" w:rsidP="00C8424C">
      <w:pPr>
        <w:widowControl w:val="0"/>
        <w:tabs>
          <w:tab w:val="left" w:pos="8789"/>
        </w:tabs>
        <w:spacing w:after="0"/>
        <w:ind w:left="851" w:right="992"/>
        <w:jc w:val="center"/>
        <w:rPr>
          <w:rFonts w:ascii="Times New Roman" w:hAnsi="Times New Roman" w:cs="Times New Roman"/>
          <w:b/>
          <w:smallCaps/>
          <w:spacing w:val="-6"/>
        </w:rPr>
      </w:pPr>
    </w:p>
    <w:p w:rsidR="00C8424C" w:rsidRPr="00955E53" w:rsidRDefault="00C8424C" w:rsidP="00C8424C">
      <w:pPr>
        <w:widowControl w:val="0"/>
        <w:tabs>
          <w:tab w:val="left" w:pos="8789"/>
        </w:tabs>
        <w:spacing w:after="0"/>
        <w:ind w:left="851" w:right="992"/>
        <w:jc w:val="center"/>
        <w:rPr>
          <w:rFonts w:ascii="Times New Roman" w:eastAsia="Calibri" w:hAnsi="Times New Roman" w:cs="Times New Roman"/>
          <w:b/>
          <w:bCs/>
          <w:smallCaps/>
          <w:color w:val="00000A"/>
        </w:rPr>
      </w:pPr>
      <w:r>
        <w:rPr>
          <w:rFonts w:ascii="Times New Roman" w:hAnsi="Times New Roman" w:cs="Times New Roman"/>
          <w:b/>
          <w:smallCaps/>
          <w:spacing w:val="-6"/>
        </w:rPr>
        <w:t>A</w:t>
      </w:r>
      <w:r w:rsidRPr="00955E53">
        <w:rPr>
          <w:rFonts w:ascii="Times New Roman" w:hAnsi="Times New Roman" w:cs="Times New Roman"/>
          <w:b/>
          <w:smallCaps/>
          <w:spacing w:val="-6"/>
        </w:rPr>
        <w:t>vviso per  l</w:t>
      </w:r>
      <w:r w:rsidR="00672B58">
        <w:rPr>
          <w:rFonts w:ascii="Times New Roman" w:hAnsi="Times New Roman" w:cs="Times New Roman"/>
          <w:b/>
          <w:smallCaps/>
          <w:spacing w:val="-6"/>
        </w:rPr>
        <w:t>’</w:t>
      </w:r>
      <w:r w:rsidRPr="00955E53">
        <w:rPr>
          <w:rFonts w:ascii="Times New Roman" w:hAnsi="Times New Roman" w:cs="Times New Roman"/>
          <w:b/>
          <w:smallCaps/>
          <w:spacing w:val="-6"/>
        </w:rPr>
        <w:t>a</w:t>
      </w:r>
      <w:r w:rsidR="00672B58">
        <w:rPr>
          <w:rFonts w:ascii="Times New Roman" w:hAnsi="Times New Roman" w:cs="Times New Roman"/>
          <w:b/>
          <w:smallCaps/>
          <w:spacing w:val="-6"/>
        </w:rPr>
        <w:t xml:space="preserve">ggiornamento </w:t>
      </w:r>
      <w:r w:rsidRPr="00955E53">
        <w:rPr>
          <w:rFonts w:ascii="Times New Roman" w:hAnsi="Times New Roman" w:cs="Times New Roman"/>
          <w:b/>
          <w:smallCaps/>
          <w:spacing w:val="-6"/>
        </w:rPr>
        <w:t xml:space="preserve"> del  piano  regionale  triennale  2018-2020 </w:t>
      </w:r>
      <w:r w:rsidR="00672B58">
        <w:rPr>
          <w:rFonts w:ascii="Times New Roman" w:hAnsi="Times New Roman" w:cs="Times New Roman"/>
          <w:b/>
          <w:smallCaps/>
          <w:spacing w:val="-6"/>
        </w:rPr>
        <w:t xml:space="preserve"> annualità </w:t>
      </w:r>
      <w:r w:rsidRPr="00955E53">
        <w:rPr>
          <w:rFonts w:ascii="Times New Roman" w:hAnsi="Times New Roman" w:cs="Times New Roman"/>
          <w:b/>
          <w:smallCaps/>
          <w:spacing w:val="-6"/>
        </w:rPr>
        <w:t>201</w:t>
      </w:r>
      <w:r w:rsidR="00672B58">
        <w:rPr>
          <w:rFonts w:ascii="Times New Roman" w:hAnsi="Times New Roman" w:cs="Times New Roman"/>
          <w:b/>
          <w:smallCaps/>
          <w:spacing w:val="-6"/>
        </w:rPr>
        <w:t>9</w:t>
      </w:r>
      <w:r w:rsidRPr="00955E53">
        <w:rPr>
          <w:rFonts w:ascii="Times New Roman" w:hAnsi="Times New Roman" w:cs="Times New Roman"/>
          <w:b/>
          <w:smallCaps/>
          <w:spacing w:val="-6"/>
        </w:rPr>
        <w:t xml:space="preserve"> in materia di edilizia scolastica</w:t>
      </w:r>
    </w:p>
    <w:p w:rsidR="009F3DBA" w:rsidRDefault="009F3DBA" w:rsidP="009F3DBA">
      <w:pPr>
        <w:widowControl w:val="0"/>
        <w:tabs>
          <w:tab w:val="left" w:pos="8789"/>
        </w:tabs>
        <w:spacing w:after="0"/>
        <w:ind w:left="851" w:right="992"/>
        <w:jc w:val="center"/>
        <w:rPr>
          <w:rFonts w:ascii="Times New Roman" w:hAnsi="Times New Roman" w:cs="Times New Roman"/>
          <w:b/>
          <w:smallCaps/>
          <w:spacing w:val="-6"/>
        </w:rPr>
      </w:pPr>
      <w:r>
        <w:rPr>
          <w:rFonts w:ascii="Times New Roman" w:hAnsi="Times New Roman" w:cs="Times New Roman"/>
          <w:b/>
          <w:smallCaps/>
          <w:spacing w:val="-6"/>
        </w:rPr>
        <w:t>(DGR 14 maggio 2018, n. 602)</w:t>
      </w:r>
    </w:p>
    <w:p w:rsidR="00C8424C" w:rsidRPr="00955E53" w:rsidRDefault="00C8424C" w:rsidP="00C8424C">
      <w:pPr>
        <w:spacing w:after="0"/>
        <w:rPr>
          <w:rFonts w:ascii="Times New Roman" w:eastAsia="Calibri" w:hAnsi="Times New Roman" w:cs="Times New Roman"/>
          <w:b/>
          <w:bCs/>
          <w:smallCaps/>
          <w:color w:val="C00000"/>
          <w:u w:val="single"/>
        </w:rPr>
      </w:pPr>
    </w:p>
    <w:p w:rsidR="00C8424C" w:rsidRPr="00955E53" w:rsidRDefault="004C4949" w:rsidP="00C8424C">
      <w:pPr>
        <w:spacing w:after="0"/>
        <w:rPr>
          <w:rFonts w:ascii="Times New Roman" w:eastAsia="Calibri" w:hAnsi="Times New Roman" w:cs="Times New Roman"/>
          <w:b/>
          <w:bCs/>
          <w:smallCaps/>
          <w:color w:val="C00000"/>
          <w:u w:val="single"/>
        </w:rPr>
      </w:pPr>
      <w:r>
        <w:rPr>
          <w:rFonts w:ascii="Times New Roman" w:eastAsia="Calibri" w:hAnsi="Times New Roman" w:cs="Times New Roman"/>
          <w:b/>
          <w:bCs/>
          <w:smallCaps/>
          <w:color w:val="C00000"/>
          <w:u w:val="single"/>
        </w:rPr>
        <w:t>Art. 1 – Finalita’ dell’</w:t>
      </w:r>
      <w:r w:rsidRPr="004C4949">
        <w:rPr>
          <w:rFonts w:ascii="Times New Roman" w:eastAsia="Calibri" w:hAnsi="Times New Roman" w:cs="Times New Roman"/>
          <w:b/>
          <w:bCs/>
          <w:smallCaps/>
          <w:color w:val="C00000"/>
          <w:sz w:val="20"/>
          <w:u w:val="single"/>
        </w:rPr>
        <w:t>A</w:t>
      </w:r>
      <w:r w:rsidRPr="00D34573">
        <w:rPr>
          <w:rFonts w:ascii="Times New Roman" w:eastAsia="Calibri" w:hAnsi="Times New Roman" w:cs="Times New Roman"/>
          <w:b/>
          <w:bCs/>
          <w:smallCaps/>
          <w:color w:val="C00000"/>
          <w:sz w:val="18"/>
          <w:u w:val="single"/>
        </w:rPr>
        <w:t>VVISO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In esecuzione del decreto del Ministro dell’economia e delle finanze, di concerto con il Ministro dell’istruzione, dell’università e della ricerca e del Ministro delle infrastrutture e dei trasporti, 3 gennaio 2018, n. 47 e della deliberazione della Giunta Regionale </w:t>
      </w:r>
      <w:r>
        <w:rPr>
          <w:rFonts w:ascii="Times New Roman" w:eastAsia="Calibri" w:hAnsi="Times New Roman" w:cs="Times New Roman"/>
          <w:bCs/>
          <w:color w:val="00000A"/>
        </w:rPr>
        <w:t xml:space="preserve">14 maggio 2018, n. </w:t>
      </w:r>
      <w:r w:rsidRPr="00974FAA">
        <w:rPr>
          <w:rFonts w:ascii="Times New Roman" w:eastAsia="Calibri" w:hAnsi="Times New Roman" w:cs="Times New Roman"/>
          <w:bCs/>
          <w:color w:val="00000A"/>
        </w:rPr>
        <w:t>602, è</w:t>
      </w:r>
      <w:r w:rsidRPr="00955E53">
        <w:rPr>
          <w:rFonts w:ascii="Times New Roman" w:eastAsia="Calibri" w:hAnsi="Times New Roman" w:cs="Times New Roman"/>
          <w:bCs/>
          <w:color w:val="00000A"/>
        </w:rPr>
        <w:t xml:space="preserve"> indett</w:t>
      </w:r>
      <w:r w:rsidR="004C4949">
        <w:rPr>
          <w:rFonts w:ascii="Times New Roman" w:eastAsia="Calibri" w:hAnsi="Times New Roman" w:cs="Times New Roman"/>
          <w:bCs/>
          <w:color w:val="00000A"/>
        </w:rPr>
        <w:t>o</w:t>
      </w:r>
      <w:r w:rsidRPr="00955E53">
        <w:rPr>
          <w:rFonts w:ascii="Times New Roman" w:eastAsia="Calibri" w:hAnsi="Times New Roman" w:cs="Times New Roman"/>
          <w:bCs/>
          <w:color w:val="00000A"/>
        </w:rPr>
        <w:t xml:space="preserve"> </w:t>
      </w:r>
      <w:r w:rsidR="004C4949">
        <w:rPr>
          <w:rFonts w:ascii="Times New Roman" w:eastAsia="Calibri" w:hAnsi="Times New Roman" w:cs="Times New Roman"/>
          <w:bCs/>
          <w:color w:val="00000A"/>
        </w:rPr>
        <w:t xml:space="preserve">l’avviso di </w:t>
      </w:r>
      <w:r w:rsidR="00A86BFA">
        <w:rPr>
          <w:rFonts w:ascii="Times New Roman" w:eastAsia="Calibri" w:hAnsi="Times New Roman" w:cs="Times New Roman"/>
          <w:bCs/>
          <w:color w:val="00000A"/>
        </w:rPr>
        <w:t>presentazione delle</w:t>
      </w:r>
      <w:r w:rsidR="004C4949">
        <w:rPr>
          <w:rFonts w:ascii="Times New Roman" w:eastAsia="Calibri" w:hAnsi="Times New Roman" w:cs="Times New Roman"/>
          <w:bCs/>
          <w:color w:val="00000A"/>
        </w:rPr>
        <w:t xml:space="preserve"> domande per l’aggiornamento </w:t>
      </w:r>
      <w:r w:rsidRPr="00955E53">
        <w:rPr>
          <w:rFonts w:ascii="Times New Roman" w:eastAsia="Calibri" w:hAnsi="Times New Roman" w:cs="Times New Roman"/>
          <w:bCs/>
          <w:color w:val="00000A"/>
        </w:rPr>
        <w:t>del piano triennale regionale 2018-2020 per interventi di edilizia scolastica</w:t>
      </w:r>
      <w:r w:rsidR="004C4949">
        <w:rPr>
          <w:rFonts w:ascii="Times New Roman" w:eastAsia="Calibri" w:hAnsi="Times New Roman" w:cs="Times New Roman"/>
          <w:bCs/>
          <w:color w:val="00000A"/>
        </w:rPr>
        <w:t xml:space="preserve"> annualità 2019</w:t>
      </w:r>
      <w:r w:rsidRPr="00955E53">
        <w:rPr>
          <w:rFonts w:ascii="Times New Roman" w:eastAsia="Calibri" w:hAnsi="Times New Roman" w:cs="Times New Roman"/>
          <w:bCs/>
          <w:color w:val="00000A"/>
        </w:rPr>
        <w:t>.</w:t>
      </w:r>
    </w:p>
    <w:p w:rsidR="00C8424C" w:rsidRPr="00955E53" w:rsidRDefault="00C8424C" w:rsidP="00C8424C">
      <w:pPr>
        <w:widowControl w:val="0"/>
        <w:spacing w:after="0"/>
        <w:rPr>
          <w:rFonts w:ascii="Times New Roman" w:eastAsia="Calibri" w:hAnsi="Times New Roman" w:cs="Times New Roman"/>
          <w:b/>
          <w:bCs/>
          <w:smallCaps/>
          <w:color w:val="C00000"/>
          <w:u w:val="single"/>
        </w:rPr>
      </w:pPr>
    </w:p>
    <w:p w:rsidR="00C8424C" w:rsidRPr="00955E53" w:rsidRDefault="00B55FD7" w:rsidP="00C8424C">
      <w:pPr>
        <w:spacing w:after="0"/>
        <w:rPr>
          <w:rFonts w:ascii="Times New Roman" w:hAnsi="Times New Roman" w:cs="Times New Roman"/>
          <w:b/>
          <w:bCs/>
          <w:smallCaps/>
          <w:color w:val="C00000"/>
          <w:u w:val="single"/>
        </w:rPr>
      </w:pPr>
      <w:r>
        <w:rPr>
          <w:rFonts w:ascii="Times New Roman" w:hAnsi="Times New Roman" w:cs="Times New Roman"/>
          <w:b/>
          <w:bCs/>
          <w:smallCaps/>
          <w:color w:val="C00000"/>
          <w:u w:val="single"/>
        </w:rPr>
        <w:t xml:space="preserve">Art. 2 – Soggetti ammessi alla </w:t>
      </w:r>
      <w:r w:rsidRPr="009261BA">
        <w:rPr>
          <w:rFonts w:ascii="Times New Roman" w:hAnsi="Times New Roman" w:cs="Times New Roman"/>
          <w:b/>
          <w:bCs/>
          <w:smallCaps/>
          <w:color w:val="C00000"/>
          <w:sz w:val="18"/>
          <w:u w:val="single"/>
        </w:rPr>
        <w:t>PRESENTAZIONE DI DOMANDA</w:t>
      </w:r>
    </w:p>
    <w:p w:rsidR="00337269"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Comuni, Province, Città metropolitane e Unioni di Comuni</w:t>
      </w:r>
      <w:r w:rsidR="00F91FE0">
        <w:rPr>
          <w:rFonts w:ascii="Times New Roman" w:eastAsia="Calibri" w:hAnsi="Times New Roman" w:cs="Times New Roman"/>
          <w:bCs/>
          <w:color w:val="00000A"/>
        </w:rPr>
        <w:t xml:space="preserve"> che hanno</w:t>
      </w:r>
      <w:r w:rsidR="000C3CFB">
        <w:rPr>
          <w:rFonts w:ascii="Times New Roman" w:eastAsia="Calibri" w:hAnsi="Times New Roman" w:cs="Times New Roman"/>
          <w:bCs/>
          <w:color w:val="00000A"/>
        </w:rPr>
        <w:t xml:space="preserve"> interventi già presenti nella programma</w:t>
      </w:r>
      <w:r w:rsidR="006D1CC3">
        <w:rPr>
          <w:rFonts w:ascii="Times New Roman" w:eastAsia="Calibri" w:hAnsi="Times New Roman" w:cs="Times New Roman"/>
          <w:bCs/>
          <w:color w:val="00000A"/>
        </w:rPr>
        <w:t>zione triennal</w:t>
      </w:r>
      <w:r w:rsidR="000C3CFB">
        <w:rPr>
          <w:rFonts w:ascii="Times New Roman" w:eastAsia="Calibri" w:hAnsi="Times New Roman" w:cs="Times New Roman"/>
          <w:bCs/>
          <w:color w:val="00000A"/>
        </w:rPr>
        <w:t>e regionale 2018-2020 approvata con DDPF n. 99/2018/EDI e rettificata con DDPF n. 101/2018/EDI</w:t>
      </w:r>
      <w:r w:rsidR="00046D95">
        <w:rPr>
          <w:rFonts w:ascii="Times New Roman" w:eastAsia="Calibri" w:hAnsi="Times New Roman" w:cs="Times New Roman"/>
          <w:bCs/>
          <w:color w:val="00000A"/>
        </w:rPr>
        <w:t>.</w:t>
      </w:r>
      <w:r w:rsidR="00337269">
        <w:rPr>
          <w:rFonts w:ascii="Times New Roman" w:eastAsia="Calibri" w:hAnsi="Times New Roman" w:cs="Times New Roman"/>
          <w:bCs/>
          <w:color w:val="00000A"/>
        </w:rPr>
        <w:t xml:space="preserve"> </w:t>
      </w:r>
    </w:p>
    <w:p w:rsidR="006030A9" w:rsidRDefault="00337269" w:rsidP="00C8424C">
      <w:pPr>
        <w:widowControl w:val="0"/>
        <w:spacing w:before="120" w:after="0"/>
        <w:jc w:val="both"/>
        <w:rPr>
          <w:rFonts w:ascii="Times New Roman" w:eastAsia="Calibri" w:hAnsi="Times New Roman" w:cs="Times New Roman"/>
          <w:bCs/>
          <w:color w:val="00000A"/>
        </w:rPr>
      </w:pPr>
      <w:r>
        <w:rPr>
          <w:rFonts w:ascii="Times New Roman" w:eastAsia="Calibri" w:hAnsi="Times New Roman" w:cs="Times New Roman"/>
          <w:bCs/>
          <w:color w:val="00000A"/>
        </w:rPr>
        <w:t>Non è ammessa la presentazione di proposte progettuali per ulteriori edifici.</w:t>
      </w:r>
    </w:p>
    <w:p w:rsidR="00C8424C" w:rsidRPr="00955E53" w:rsidRDefault="00C8424C" w:rsidP="00B55FD7">
      <w:pPr>
        <w:widowControl w:val="0"/>
        <w:spacing w:after="0"/>
        <w:jc w:val="both"/>
        <w:rPr>
          <w:rFonts w:ascii="Times New Roman" w:eastAsia="Calibri" w:hAnsi="Times New Roman" w:cs="Times New Roman"/>
          <w:bCs/>
          <w:color w:val="00000A"/>
        </w:rPr>
      </w:pPr>
    </w:p>
    <w:p w:rsidR="00C8424C" w:rsidRPr="00A803E1" w:rsidRDefault="00C8424C" w:rsidP="00C8424C">
      <w:pPr>
        <w:spacing w:after="0"/>
        <w:jc w:val="both"/>
        <w:rPr>
          <w:rFonts w:ascii="Times New Roman" w:hAnsi="Times New Roman" w:cs="Times New Roman"/>
          <w:b/>
          <w:bCs/>
          <w:smallCaps/>
          <w:color w:val="C00000"/>
          <w:u w:val="single"/>
        </w:rPr>
      </w:pPr>
      <w:r w:rsidRPr="00A803E1">
        <w:rPr>
          <w:rFonts w:ascii="Times New Roman" w:hAnsi="Times New Roman" w:cs="Times New Roman"/>
          <w:b/>
          <w:bCs/>
          <w:smallCaps/>
          <w:color w:val="C00000"/>
          <w:u w:val="single"/>
        </w:rPr>
        <w:t>Art. 3 – Tipologia di Interventi ammissibili</w:t>
      </w:r>
    </w:p>
    <w:p w:rsidR="00C8424C" w:rsidRPr="00A803E1" w:rsidRDefault="00C8424C" w:rsidP="00C8424C">
      <w:pPr>
        <w:widowControl w:val="0"/>
        <w:spacing w:before="120" w:after="0"/>
        <w:jc w:val="both"/>
        <w:rPr>
          <w:rFonts w:ascii="Times New Roman" w:eastAsia="Calibri" w:hAnsi="Times New Roman" w:cs="Times New Roman"/>
          <w:bCs/>
          <w:color w:val="00000A"/>
        </w:rPr>
      </w:pPr>
      <w:r w:rsidRPr="00A803E1">
        <w:rPr>
          <w:rFonts w:ascii="Times New Roman" w:eastAsia="Calibri" w:hAnsi="Times New Roman" w:cs="Times New Roman"/>
          <w:bCs/>
          <w:color w:val="00000A"/>
        </w:rPr>
        <w:t>Gli interventi ammissibili devono rientrare in una delle categorie di cui all’articolo 3 del decreto del Ministro dell’economia e delle finanze, di concerto con il Ministro dell’istruzione, dell’università e della ricerca e del Ministro delle infrastrutture e dei trasporti, 3 gennaio 2018, n. 47.</w:t>
      </w:r>
    </w:p>
    <w:p w:rsidR="00C8424C" w:rsidRPr="00A803E1" w:rsidRDefault="00C8424C" w:rsidP="00C8424C">
      <w:pPr>
        <w:widowControl w:val="0"/>
        <w:spacing w:before="120" w:after="0"/>
        <w:jc w:val="both"/>
        <w:rPr>
          <w:rFonts w:ascii="Times New Roman" w:eastAsia="Calibri" w:hAnsi="Times New Roman" w:cs="Times New Roman"/>
          <w:bCs/>
          <w:color w:val="00000A"/>
        </w:rPr>
      </w:pPr>
      <w:r w:rsidRPr="00A803E1">
        <w:rPr>
          <w:rFonts w:ascii="Times New Roman" w:eastAsia="Calibri" w:hAnsi="Times New Roman" w:cs="Times New Roman"/>
          <w:bCs/>
          <w:color w:val="00000A"/>
        </w:rPr>
        <w:t>In particolare, sono  ammesse alla presente selezione proposte rientranti nelle seguenti tipologie d’intervento:</w:t>
      </w:r>
    </w:p>
    <w:p w:rsidR="00C8424C" w:rsidRPr="00A803E1"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bCs/>
          <w:color w:val="00000A"/>
        </w:rPr>
      </w:pPr>
      <w:r w:rsidRPr="00A803E1">
        <w:rPr>
          <w:rFonts w:ascii="Times New Roman" w:hAnsi="Times New Roman" w:cs="Times New Roman"/>
          <w:bCs/>
          <w:color w:val="00000A"/>
        </w:rPr>
        <w:t>interventi di adeguamento sismico, di nuova costruzione in sostituzione di edifici esistenti (nel solo caso in cui l’adeguamento sismico non sia conveniente) e di miglioramento sismico (nel solo caso in cui l’edificio non sia adeguabile in ragione dell’insistenza di vincolo d’interesse); (l’adeguamento ed il miglioramento sismico vanno intesi secondo le  nuove norme NTC 2018)</w:t>
      </w:r>
    </w:p>
    <w:p w:rsidR="00C8424C" w:rsidRPr="00A803E1"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color w:val="00000A"/>
        </w:rPr>
      </w:pPr>
      <w:r w:rsidRPr="00A803E1">
        <w:rPr>
          <w:rFonts w:ascii="Times New Roman" w:hAnsi="Times New Roman" w:cs="Times New Roman"/>
          <w:bCs/>
          <w:color w:val="00000A"/>
        </w:rPr>
        <w:t>Inter</w:t>
      </w:r>
      <w:r w:rsidRPr="00A803E1">
        <w:rPr>
          <w:rFonts w:ascii="Times New Roman" w:hAnsi="Times New Roman" w:cs="Times New Roman"/>
          <w:color w:val="00000A"/>
        </w:rPr>
        <w:t>venti finalizzati all’eliminazione di rischi, all’ottenimento della certificazione di agibilità dell’edificio e all’adeguamento alla normativa antincendio</w:t>
      </w:r>
      <w:r w:rsidRPr="00A803E1">
        <w:rPr>
          <w:rFonts w:ascii="Times New Roman" w:hAnsi="Times New Roman" w:cs="Times New Roman"/>
          <w:bCs/>
          <w:color w:val="00000A"/>
        </w:rPr>
        <w:t>;</w:t>
      </w:r>
    </w:p>
    <w:p w:rsidR="00C8424C" w:rsidRPr="00A803E1" w:rsidRDefault="00C8424C" w:rsidP="00C8424C">
      <w:pPr>
        <w:widowControl w:val="0"/>
        <w:numPr>
          <w:ilvl w:val="0"/>
          <w:numId w:val="1"/>
        </w:numPr>
        <w:suppressAutoHyphens/>
        <w:spacing w:before="60" w:line="240" w:lineRule="auto"/>
        <w:ind w:left="284" w:hanging="284"/>
        <w:jc w:val="both"/>
        <w:textAlignment w:val="baseline"/>
        <w:rPr>
          <w:rFonts w:ascii="Times New Roman" w:hAnsi="Times New Roman" w:cs="Times New Roman"/>
          <w:bCs/>
          <w:color w:val="00000A"/>
        </w:rPr>
      </w:pPr>
      <w:r w:rsidRPr="00A803E1">
        <w:rPr>
          <w:rFonts w:ascii="Times New Roman" w:hAnsi="Times New Roman" w:cs="Times New Roman"/>
          <w:bCs/>
          <w:color w:val="00000A"/>
        </w:rPr>
        <w:t>c1) ampliamenti per soddisfare specifiche esigenze scolastiche;</w:t>
      </w:r>
    </w:p>
    <w:p w:rsidR="00C8424C" w:rsidRPr="00A803E1" w:rsidRDefault="00C8424C" w:rsidP="00C8424C">
      <w:pPr>
        <w:widowControl w:val="0"/>
        <w:spacing w:before="60"/>
        <w:ind w:left="284"/>
        <w:jc w:val="both"/>
        <w:rPr>
          <w:rFonts w:ascii="Times New Roman" w:hAnsi="Times New Roman" w:cs="Times New Roman"/>
          <w:bCs/>
          <w:color w:val="00000A"/>
        </w:rPr>
      </w:pPr>
      <w:r w:rsidRPr="00A803E1">
        <w:rPr>
          <w:rFonts w:ascii="Times New Roman" w:hAnsi="Times New Roman" w:cs="Times New Roman"/>
          <w:bCs/>
          <w:color w:val="00000A"/>
        </w:rPr>
        <w:t xml:space="preserve">c2) nuove </w:t>
      </w:r>
      <w:r w:rsidRPr="00A803E1">
        <w:rPr>
          <w:rFonts w:ascii="Times New Roman" w:hAnsi="Times New Roman" w:cs="Times New Roman"/>
          <w:color w:val="00000A"/>
        </w:rPr>
        <w:t>costruzioni</w:t>
      </w:r>
      <w:r w:rsidRPr="00A803E1">
        <w:rPr>
          <w:rFonts w:ascii="Times New Roman" w:hAnsi="Times New Roman" w:cs="Times New Roman"/>
          <w:bCs/>
          <w:color w:val="00000A"/>
        </w:rPr>
        <w:t xml:space="preserve"> per soddisfare specifiche esigenze scolastiche;</w:t>
      </w:r>
    </w:p>
    <w:p w:rsidR="00422E1F" w:rsidRPr="00422E1F" w:rsidRDefault="00C8424C" w:rsidP="00422E1F">
      <w:pPr>
        <w:widowControl w:val="0"/>
        <w:numPr>
          <w:ilvl w:val="0"/>
          <w:numId w:val="1"/>
        </w:numPr>
        <w:suppressAutoHyphens/>
        <w:spacing w:before="60" w:line="240" w:lineRule="auto"/>
        <w:ind w:left="284" w:hanging="284"/>
        <w:jc w:val="both"/>
        <w:textAlignment w:val="baseline"/>
        <w:rPr>
          <w:rFonts w:ascii="Times New Roman" w:hAnsi="Times New Roman" w:cs="Times New Roman"/>
          <w:color w:val="00000A"/>
        </w:rPr>
      </w:pPr>
      <w:r w:rsidRPr="00A803E1">
        <w:rPr>
          <w:rFonts w:ascii="Times New Roman" w:hAnsi="Times New Roman" w:cs="Times New Roman"/>
          <w:bCs/>
          <w:color w:val="00000A"/>
        </w:rPr>
        <w:t xml:space="preserve">interventi diversi dai </w:t>
      </w:r>
      <w:r w:rsidRPr="00A803E1">
        <w:rPr>
          <w:rFonts w:ascii="Times New Roman" w:hAnsi="Times New Roman" w:cs="Times New Roman"/>
          <w:color w:val="00000A"/>
        </w:rPr>
        <w:t>precedenti</w:t>
      </w:r>
      <w:r w:rsidRPr="00A803E1">
        <w:rPr>
          <w:rFonts w:ascii="Times New Roman" w:hAnsi="Times New Roman" w:cs="Times New Roman"/>
          <w:bCs/>
          <w:color w:val="00000A"/>
        </w:rPr>
        <w:t>;</w:t>
      </w:r>
    </w:p>
    <w:p w:rsidR="00C8424C" w:rsidRPr="00A803E1" w:rsidRDefault="00C8424C" w:rsidP="00C8424C">
      <w:pPr>
        <w:widowControl w:val="0"/>
        <w:spacing w:after="0"/>
        <w:jc w:val="both"/>
        <w:rPr>
          <w:rFonts w:ascii="Times New Roman" w:eastAsia="Calibri" w:hAnsi="Times New Roman" w:cs="Times New Roman"/>
          <w:color w:val="00000A"/>
        </w:rPr>
      </w:pPr>
      <w:r w:rsidRPr="00A803E1">
        <w:rPr>
          <w:rFonts w:ascii="Times New Roman" w:eastAsia="Calibri" w:hAnsi="Times New Roman" w:cs="Times New Roman"/>
          <w:bCs/>
          <w:color w:val="00000A"/>
        </w:rPr>
        <w:t>Per ciascun edificio scolastico può essere presentata una sola richiesta di finanziamento.</w:t>
      </w:r>
    </w:p>
    <w:p w:rsidR="00422E1F" w:rsidRPr="00955E53" w:rsidRDefault="00422E1F" w:rsidP="00C8424C">
      <w:pPr>
        <w:widowControl w:val="0"/>
        <w:spacing w:after="0"/>
        <w:jc w:val="both"/>
        <w:rPr>
          <w:rFonts w:ascii="Times New Roman" w:eastAsia="Calibri" w:hAnsi="Times New Roman" w:cs="Times New Roman"/>
          <w:bCs/>
          <w:color w:val="00000A"/>
        </w:rPr>
      </w:pPr>
    </w:p>
    <w:p w:rsidR="00C8424C" w:rsidRPr="00955E53" w:rsidRDefault="00C8424C" w:rsidP="00C8424C">
      <w:pPr>
        <w:spacing w:after="0"/>
        <w:jc w:val="both"/>
        <w:rPr>
          <w:rFonts w:ascii="Times New Roman" w:hAnsi="Times New Roman" w:cs="Times New Roman"/>
          <w:color w:val="000000"/>
        </w:rPr>
      </w:pPr>
      <w:r w:rsidRPr="00955E53">
        <w:rPr>
          <w:rFonts w:ascii="Times New Roman" w:hAnsi="Times New Roman" w:cs="Times New Roman"/>
          <w:b/>
          <w:bCs/>
          <w:smallCaps/>
          <w:color w:val="C00000"/>
          <w:u w:val="single"/>
        </w:rPr>
        <w:t>art. 4 - Interventi  non  ammissibili al finanziamento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Non sono ammissibili a finanziamento gli interventi:</w:t>
      </w:r>
    </w:p>
    <w:p w:rsidR="00C8424C" w:rsidRPr="00955E53" w:rsidRDefault="00C8424C" w:rsidP="00460D3B">
      <w:pPr>
        <w:widowControl w:val="0"/>
        <w:numPr>
          <w:ilvl w:val="0"/>
          <w:numId w:val="4"/>
        </w:numPr>
        <w:suppressAutoHyphens/>
        <w:spacing w:before="60" w:after="12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relativi a edifici di proprietà pubblica adibiti all’istruzione </w:t>
      </w:r>
      <w:r w:rsidRPr="00955E53">
        <w:rPr>
          <w:rFonts w:ascii="Times New Roman" w:hAnsi="Times New Roman" w:cs="Times New Roman"/>
          <w:color w:val="00000A"/>
        </w:rPr>
        <w:t>scolastica</w:t>
      </w:r>
      <w:r w:rsidRPr="00955E53">
        <w:rPr>
          <w:rFonts w:ascii="Times New Roman" w:hAnsi="Times New Roman" w:cs="Times New Roman"/>
          <w:bCs/>
          <w:color w:val="00000A"/>
        </w:rPr>
        <w:t xml:space="preserve"> </w:t>
      </w:r>
      <w:r w:rsidRPr="00955E53">
        <w:rPr>
          <w:rFonts w:ascii="Times New Roman" w:hAnsi="Times New Roman" w:cs="Times New Roman"/>
          <w:color w:val="00000A"/>
        </w:rPr>
        <w:t>non st</w:t>
      </w:r>
      <w:r w:rsidRPr="00955E53">
        <w:rPr>
          <w:rFonts w:ascii="Times New Roman" w:hAnsi="Times New Roman" w:cs="Times New Roman"/>
          <w:bCs/>
          <w:color w:val="00000A"/>
        </w:rPr>
        <w:t xml:space="preserve">atale, fatta salva l’ipotesi di realizzazione di poli di infanzia ai sensi dell’articolo 3, comma 9, del </w:t>
      </w:r>
      <w:r w:rsidR="00460D3B">
        <w:rPr>
          <w:rFonts w:ascii="Times New Roman" w:hAnsi="Times New Roman" w:cs="Times New Roman"/>
          <w:bCs/>
          <w:color w:val="00000A"/>
        </w:rPr>
        <w:t>D. Lg</w:t>
      </w:r>
      <w:r w:rsidRPr="00955E53">
        <w:rPr>
          <w:rFonts w:ascii="Times New Roman" w:hAnsi="Times New Roman" w:cs="Times New Roman"/>
          <w:bCs/>
          <w:color w:val="00000A"/>
        </w:rPr>
        <w:t>s</w:t>
      </w:r>
      <w:r w:rsidR="00460D3B">
        <w:rPr>
          <w:rFonts w:ascii="Times New Roman" w:hAnsi="Times New Roman" w:cs="Times New Roman"/>
          <w:bCs/>
          <w:color w:val="00000A"/>
        </w:rPr>
        <w:t>.</w:t>
      </w:r>
      <w:r w:rsidRPr="00955E53">
        <w:rPr>
          <w:rFonts w:ascii="Times New Roman" w:hAnsi="Times New Roman" w:cs="Times New Roman"/>
          <w:bCs/>
          <w:color w:val="00000A"/>
        </w:rPr>
        <w:t xml:space="preserve"> 13 aprile 2017, n. 65;</w:t>
      </w:r>
    </w:p>
    <w:p w:rsidR="00C8424C" w:rsidRPr="00955E53" w:rsidRDefault="00C8424C" w:rsidP="00460D3B">
      <w:pPr>
        <w:widowControl w:val="0"/>
        <w:numPr>
          <w:ilvl w:val="0"/>
          <w:numId w:val="4"/>
        </w:numPr>
        <w:suppressAutoHyphens/>
        <w:spacing w:before="60" w:after="12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relativi a edifici ricadenti nelle zone 1 e 2 di elevato rischio sismico, per i quali il proponente non s’impegni ad effettuare  la verifica di vulnerabilità sismica entro i termini previsti dall’articolo 20-bis, comma 4, del </w:t>
      </w:r>
      <w:r w:rsidR="00E26F9C">
        <w:rPr>
          <w:rFonts w:ascii="Times New Roman" w:hAnsi="Times New Roman" w:cs="Times New Roman"/>
          <w:bCs/>
          <w:color w:val="00000A"/>
        </w:rPr>
        <w:t>D. L.</w:t>
      </w:r>
      <w:r w:rsidRPr="00955E53">
        <w:rPr>
          <w:rFonts w:ascii="Times New Roman" w:hAnsi="Times New Roman" w:cs="Times New Roman"/>
          <w:bCs/>
          <w:color w:val="00000A"/>
        </w:rPr>
        <w:t xml:space="preserve"> 9 febbraio 2017, n. 8, convertito, con modificazioni, dalla </w:t>
      </w:r>
      <w:r w:rsidR="00E26F9C">
        <w:rPr>
          <w:rFonts w:ascii="Times New Roman" w:hAnsi="Times New Roman" w:cs="Times New Roman"/>
          <w:bCs/>
          <w:color w:val="00000A"/>
        </w:rPr>
        <w:t>L.</w:t>
      </w:r>
      <w:r w:rsidRPr="00955E53">
        <w:rPr>
          <w:rFonts w:ascii="Times New Roman" w:hAnsi="Times New Roman" w:cs="Times New Roman"/>
          <w:bCs/>
          <w:color w:val="00000A"/>
        </w:rPr>
        <w:t xml:space="preserve"> 7 aprile 2017, n. 45;</w:t>
      </w:r>
    </w:p>
    <w:p w:rsidR="00C8424C" w:rsidRPr="00955E53" w:rsidRDefault="00C8424C" w:rsidP="00460D3B">
      <w:pPr>
        <w:widowControl w:val="0"/>
        <w:numPr>
          <w:ilvl w:val="0"/>
          <w:numId w:val="4"/>
        </w:numPr>
        <w:suppressAutoHyphens/>
        <w:spacing w:before="60" w:after="12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che prevedano esclusivamente opere di sistemazione a verde e arredo urbano, ancorché di aree </w:t>
      </w:r>
      <w:r w:rsidRPr="00955E53">
        <w:rPr>
          <w:rFonts w:ascii="Times New Roman" w:hAnsi="Times New Roman" w:cs="Times New Roman"/>
          <w:bCs/>
          <w:color w:val="00000A"/>
        </w:rPr>
        <w:lastRenderedPageBreak/>
        <w:t>pertinenziali scolastiche;</w:t>
      </w:r>
    </w:p>
    <w:p w:rsidR="00C8424C" w:rsidRPr="00955E53" w:rsidRDefault="00C8424C" w:rsidP="00460D3B">
      <w:pPr>
        <w:widowControl w:val="0"/>
        <w:numPr>
          <w:ilvl w:val="0"/>
          <w:numId w:val="4"/>
        </w:numPr>
        <w:suppressAutoHyphens/>
        <w:spacing w:before="60" w:after="12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relativi a edifici ospitanti istituzioni scolastiche statali che siano oggetto di dimensionamento sc</w:t>
      </w:r>
      <w:r w:rsidR="00A15762">
        <w:rPr>
          <w:rFonts w:ascii="Times New Roman" w:hAnsi="Times New Roman" w:cs="Times New Roman"/>
          <w:bCs/>
          <w:color w:val="00000A"/>
        </w:rPr>
        <w:t>olastico regionale; (per il 2019 si veda la  DGR n. 21</w:t>
      </w:r>
      <w:r w:rsidRPr="00955E53">
        <w:rPr>
          <w:rFonts w:ascii="Times New Roman" w:hAnsi="Times New Roman" w:cs="Times New Roman"/>
          <w:bCs/>
          <w:color w:val="00000A"/>
        </w:rPr>
        <w:t>/201</w:t>
      </w:r>
      <w:r w:rsidR="00A15762">
        <w:rPr>
          <w:rFonts w:ascii="Times New Roman" w:hAnsi="Times New Roman" w:cs="Times New Roman"/>
          <w:bCs/>
          <w:color w:val="00000A"/>
        </w:rPr>
        <w:t>9</w:t>
      </w:r>
      <w:r w:rsidRPr="00955E53">
        <w:rPr>
          <w:rFonts w:ascii="Times New Roman" w:hAnsi="Times New Roman" w:cs="Times New Roman"/>
          <w:bCs/>
          <w:color w:val="00000A"/>
        </w:rPr>
        <w:t>)</w:t>
      </w:r>
    </w:p>
    <w:p w:rsidR="00C8424C" w:rsidRPr="00B735D5" w:rsidRDefault="00C8424C" w:rsidP="00460D3B">
      <w:pPr>
        <w:widowControl w:val="0"/>
        <w:numPr>
          <w:ilvl w:val="0"/>
          <w:numId w:val="4"/>
        </w:numPr>
        <w:suppressAutoHyphens/>
        <w:spacing w:before="60" w:after="120" w:line="240" w:lineRule="auto"/>
        <w:ind w:left="284"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già destinatari di altri finanziamenti comunitari, statali e regionali, con la sola eccezione di eventuali cofinanziamenti fino a concorrenza del costo complessivo.</w:t>
      </w:r>
    </w:p>
    <w:p w:rsidR="00B735D5" w:rsidRPr="00B735D5" w:rsidRDefault="00EF2D90" w:rsidP="00460D3B">
      <w:pPr>
        <w:pStyle w:val="Paragrafoelenco"/>
        <w:numPr>
          <w:ilvl w:val="0"/>
          <w:numId w:val="4"/>
        </w:numPr>
        <w:spacing w:after="120"/>
        <w:ind w:left="284" w:hanging="284"/>
        <w:jc w:val="both"/>
        <w:rPr>
          <w:rFonts w:ascii="Times New Roman" w:hAnsi="Times New Roman" w:cs="Times New Roman"/>
          <w:color w:val="00000A"/>
        </w:rPr>
      </w:pPr>
      <w:r>
        <w:rPr>
          <w:rFonts w:ascii="Times New Roman" w:hAnsi="Times New Roman" w:cs="Times New Roman"/>
          <w:color w:val="00000A"/>
        </w:rPr>
        <w:t>p</w:t>
      </w:r>
      <w:r w:rsidR="00B735D5" w:rsidRPr="00B735D5">
        <w:rPr>
          <w:rFonts w:ascii="Times New Roman" w:hAnsi="Times New Roman" w:cs="Times New Roman"/>
          <w:color w:val="00000A"/>
        </w:rPr>
        <w:t>er cui gli Enti beneficiari de</w:t>
      </w:r>
      <w:r w:rsidR="007B0EA4">
        <w:rPr>
          <w:rFonts w:ascii="Times New Roman" w:hAnsi="Times New Roman" w:cs="Times New Roman"/>
          <w:color w:val="00000A"/>
        </w:rPr>
        <w:t>l</w:t>
      </w:r>
      <w:r w:rsidR="00B735D5" w:rsidRPr="00B735D5">
        <w:rPr>
          <w:rFonts w:ascii="Times New Roman" w:hAnsi="Times New Roman" w:cs="Times New Roman"/>
          <w:color w:val="00000A"/>
        </w:rPr>
        <w:t xml:space="preserve"> finanziament</w:t>
      </w:r>
      <w:r w:rsidR="007B0EA4">
        <w:rPr>
          <w:rFonts w:ascii="Times New Roman" w:hAnsi="Times New Roman" w:cs="Times New Roman"/>
          <w:color w:val="00000A"/>
        </w:rPr>
        <w:t>o</w:t>
      </w:r>
      <w:r w:rsidR="00B735D5" w:rsidRPr="00B735D5">
        <w:rPr>
          <w:rFonts w:ascii="Times New Roman" w:hAnsi="Times New Roman" w:cs="Times New Roman"/>
          <w:color w:val="00000A"/>
        </w:rPr>
        <w:t xml:space="preserve"> abbiano avviato le procedure di gara prima  dell’avvenuta adozione del provvedimento di cui all’art. 1 comma 3 del DI 3 gennaio 2018, n. 47</w:t>
      </w:r>
      <w:r w:rsidR="002E1624">
        <w:rPr>
          <w:rFonts w:ascii="Times New Roman" w:hAnsi="Times New Roman" w:cs="Times New Roman"/>
          <w:color w:val="00000A"/>
        </w:rPr>
        <w:t>, come indicato all’art. 2 comma 4 dello stesso decreto</w:t>
      </w:r>
      <w:r w:rsidR="00B735D5" w:rsidRPr="00B735D5">
        <w:rPr>
          <w:rFonts w:ascii="Times New Roman" w:hAnsi="Times New Roman" w:cs="Times New Roman"/>
          <w:color w:val="00000A"/>
        </w:rPr>
        <w:t>.</w:t>
      </w:r>
    </w:p>
    <w:p w:rsidR="00C8424C" w:rsidRPr="00955E53" w:rsidRDefault="00C8424C" w:rsidP="00C8424C">
      <w:pPr>
        <w:spacing w:after="0"/>
        <w:rPr>
          <w:rFonts w:ascii="Times New Roman" w:hAnsi="Times New Roman" w:cs="Times New Roman"/>
          <w:color w:val="000000"/>
        </w:rPr>
      </w:pPr>
      <w:r w:rsidRPr="004F2946">
        <w:rPr>
          <w:rFonts w:ascii="Times New Roman" w:hAnsi="Times New Roman" w:cs="Times New Roman"/>
          <w:b/>
          <w:bCs/>
          <w:smallCaps/>
          <w:color w:val="C00000"/>
          <w:u w:val="single"/>
        </w:rPr>
        <w:t>Art.</w:t>
      </w:r>
      <w:r w:rsidR="00451446" w:rsidRPr="004F2946">
        <w:rPr>
          <w:rFonts w:ascii="Times New Roman" w:hAnsi="Times New Roman" w:cs="Times New Roman"/>
          <w:b/>
          <w:bCs/>
          <w:smallCaps/>
          <w:color w:val="C00000"/>
          <w:u w:val="single"/>
        </w:rPr>
        <w:t xml:space="preserve"> </w:t>
      </w:r>
      <w:r w:rsidR="004F2946" w:rsidRPr="004F2946">
        <w:rPr>
          <w:rFonts w:ascii="Times New Roman" w:hAnsi="Times New Roman" w:cs="Times New Roman"/>
          <w:b/>
          <w:bCs/>
          <w:smallCaps/>
          <w:color w:val="C00000"/>
          <w:u w:val="single"/>
        </w:rPr>
        <w:t>5</w:t>
      </w:r>
      <w:r w:rsidRPr="004F2946">
        <w:rPr>
          <w:rFonts w:ascii="Times New Roman" w:hAnsi="Times New Roman" w:cs="Times New Roman"/>
          <w:b/>
          <w:bCs/>
          <w:smallCaps/>
          <w:color w:val="C00000"/>
          <w:u w:val="single"/>
        </w:rPr>
        <w:t>– Modalità</w:t>
      </w:r>
      <w:r w:rsidRPr="00955E53">
        <w:rPr>
          <w:rFonts w:ascii="Times New Roman" w:hAnsi="Times New Roman" w:cs="Times New Roman"/>
          <w:b/>
          <w:bCs/>
          <w:smallCaps/>
          <w:color w:val="C00000"/>
          <w:u w:val="single"/>
        </w:rPr>
        <w:t xml:space="preserve"> di partecipazione e documentazione</w:t>
      </w:r>
    </w:p>
    <w:p w:rsidR="00612528" w:rsidRDefault="00672B58" w:rsidP="00672B58">
      <w:pPr>
        <w:pStyle w:val="Paragrafoelenco"/>
        <w:numPr>
          <w:ilvl w:val="0"/>
          <w:numId w:val="23"/>
        </w:numPr>
        <w:tabs>
          <w:tab w:val="num" w:pos="426"/>
        </w:tabs>
        <w:spacing w:before="120" w:after="120"/>
        <w:ind w:left="284" w:hanging="284"/>
        <w:jc w:val="both"/>
        <w:rPr>
          <w:rFonts w:ascii="Times New Roman" w:hAnsi="Times New Roman" w:cs="Times New Roman"/>
          <w:iCs/>
        </w:rPr>
      </w:pPr>
      <w:r w:rsidRPr="00612528">
        <w:rPr>
          <w:rFonts w:ascii="Times New Roman" w:hAnsi="Times New Roman" w:cs="Times New Roman"/>
          <w:iCs/>
        </w:rPr>
        <w:t>La domanda, contenente le informazioni di cui all’allegato “B”, dovrà essere predisposta utilizzando</w:t>
      </w:r>
      <w:r w:rsidR="00D47CBA" w:rsidRPr="00612528">
        <w:rPr>
          <w:rFonts w:ascii="Times New Roman" w:hAnsi="Times New Roman" w:cs="Times New Roman"/>
          <w:iCs/>
        </w:rPr>
        <w:t>,</w:t>
      </w:r>
      <w:r w:rsidRPr="00612528">
        <w:rPr>
          <w:rFonts w:ascii="Times New Roman" w:hAnsi="Times New Roman" w:cs="Times New Roman"/>
          <w:iCs/>
        </w:rPr>
        <w:t xml:space="preserve"> </w:t>
      </w:r>
      <w:r w:rsidR="00D47CBA" w:rsidRPr="00612528">
        <w:rPr>
          <w:rFonts w:ascii="Times New Roman" w:hAnsi="Times New Roman" w:cs="Times New Roman"/>
          <w:iCs/>
        </w:rPr>
        <w:t>a pena di esclusione,</w:t>
      </w:r>
      <w:r w:rsidRPr="00612528">
        <w:rPr>
          <w:rFonts w:ascii="Times New Roman" w:hAnsi="Times New Roman" w:cs="Times New Roman"/>
          <w:iCs/>
        </w:rPr>
        <w:t xml:space="preserve"> l’apposita procedura on line che sarà disponibile dal giorno 15 maggio 2019 nel sito della PF e raggiungibile all’indirizzo </w:t>
      </w:r>
      <w:hyperlink r:id="rId7" w:history="1">
        <w:r w:rsidRPr="00612528">
          <w:rPr>
            <w:rStyle w:val="Collegamentoipertestuale"/>
            <w:rFonts w:ascii="Times New Roman" w:hAnsi="Times New Roman" w:cs="Times New Roman"/>
            <w:iCs/>
          </w:rPr>
          <w:t>http://edilizia.regione.marche.it</w:t>
        </w:r>
      </w:hyperlink>
      <w:r w:rsidRPr="00612528">
        <w:rPr>
          <w:rFonts w:ascii="Times New Roman" w:hAnsi="Times New Roman" w:cs="Times New Roman"/>
          <w:iCs/>
        </w:rPr>
        <w:t xml:space="preserve"> alla sezione “Edilizia scolastica”.</w:t>
      </w:r>
    </w:p>
    <w:p w:rsidR="005416D9" w:rsidRPr="00612528" w:rsidRDefault="0061048B" w:rsidP="00672B58">
      <w:pPr>
        <w:pStyle w:val="Paragrafoelenco"/>
        <w:numPr>
          <w:ilvl w:val="0"/>
          <w:numId w:val="23"/>
        </w:numPr>
        <w:tabs>
          <w:tab w:val="num" w:pos="426"/>
        </w:tabs>
        <w:spacing w:before="120" w:after="120"/>
        <w:ind w:left="284" w:hanging="284"/>
        <w:jc w:val="both"/>
        <w:rPr>
          <w:rFonts w:ascii="Times New Roman" w:hAnsi="Times New Roman" w:cs="Times New Roman"/>
          <w:iCs/>
        </w:rPr>
      </w:pPr>
      <w:r w:rsidRPr="00612528">
        <w:rPr>
          <w:rFonts w:ascii="Times New Roman" w:hAnsi="Times New Roman" w:cs="Times New Roman"/>
          <w:iCs/>
        </w:rPr>
        <w:t>La domanda</w:t>
      </w:r>
      <w:r w:rsidR="00672B58" w:rsidRPr="00612528">
        <w:rPr>
          <w:rFonts w:ascii="Times New Roman" w:hAnsi="Times New Roman" w:cs="Times New Roman"/>
          <w:iCs/>
        </w:rPr>
        <w:t xml:space="preserve"> compilata </w:t>
      </w:r>
      <w:r w:rsidRPr="00612528">
        <w:rPr>
          <w:rFonts w:ascii="Times New Roman" w:hAnsi="Times New Roman" w:cs="Times New Roman"/>
          <w:iCs/>
        </w:rPr>
        <w:t xml:space="preserve">come descritto al punto 1) </w:t>
      </w:r>
      <w:r w:rsidR="00672B58" w:rsidRPr="00612528">
        <w:rPr>
          <w:rFonts w:ascii="Times New Roman" w:hAnsi="Times New Roman" w:cs="Times New Roman"/>
          <w:iCs/>
        </w:rPr>
        <w:t>e debitamenta sottoscritta</w:t>
      </w:r>
      <w:r w:rsidR="00DB7498" w:rsidRPr="00612528">
        <w:rPr>
          <w:rFonts w:ascii="Times New Roman" w:eastAsia="Calibri" w:hAnsi="Times New Roman" w:cs="Times New Roman"/>
          <w:b/>
          <w:bCs/>
          <w:color w:val="00000A"/>
        </w:rPr>
        <w:t xml:space="preserve"> dal RUP dell’Ente richiedente allegando copia di un documento di identità valido</w:t>
      </w:r>
      <w:r w:rsidR="00672B58" w:rsidRPr="00612528">
        <w:rPr>
          <w:rFonts w:ascii="Times New Roman" w:hAnsi="Times New Roman" w:cs="Times New Roman"/>
          <w:iCs/>
        </w:rPr>
        <w:t>, integrata con la documentazione comprovante le dichiarazioni rese</w:t>
      </w:r>
      <w:r w:rsidR="005416D9" w:rsidRPr="00612528">
        <w:rPr>
          <w:rFonts w:ascii="Times New Roman" w:hAnsi="Times New Roman" w:cs="Times New Roman"/>
          <w:iCs/>
        </w:rPr>
        <w:t xml:space="preserve"> anche ai fini dell’attribuzione dei punteggi</w:t>
      </w:r>
      <w:r w:rsidR="00672B58" w:rsidRPr="00612528">
        <w:rPr>
          <w:rFonts w:ascii="Times New Roman" w:hAnsi="Times New Roman" w:cs="Times New Roman"/>
          <w:iCs/>
        </w:rPr>
        <w:t xml:space="preserve">, dovrà </w:t>
      </w:r>
      <w:r w:rsidR="005416D9" w:rsidRPr="00612528">
        <w:rPr>
          <w:rFonts w:ascii="Times New Roman" w:hAnsi="Times New Roman" w:cs="Times New Roman"/>
          <w:iCs/>
        </w:rPr>
        <w:t>pervenire</w:t>
      </w:r>
      <w:r w:rsidR="00672B58" w:rsidRPr="00612528">
        <w:rPr>
          <w:rFonts w:ascii="Times New Roman" w:hAnsi="Times New Roman" w:cs="Times New Roman"/>
          <w:iCs/>
        </w:rPr>
        <w:t xml:space="preserve"> </w:t>
      </w:r>
      <w:r w:rsidR="005416D9" w:rsidRPr="00612528">
        <w:rPr>
          <w:rFonts w:ascii="Times New Roman" w:hAnsi="Times New Roman" w:cs="Times New Roman"/>
          <w:b/>
          <w:iCs/>
        </w:rPr>
        <w:t xml:space="preserve">entro il giorno 05 giugno 2019 </w:t>
      </w:r>
      <w:r w:rsidR="005416D9" w:rsidRPr="00612528">
        <w:rPr>
          <w:rFonts w:ascii="Times New Roman" w:hAnsi="Times New Roman" w:cs="Times New Roman"/>
          <w:iCs/>
        </w:rPr>
        <w:t>secondo le seguenti modalità:</w:t>
      </w:r>
    </w:p>
    <w:p w:rsidR="00672B58" w:rsidRPr="00672B58" w:rsidRDefault="005416D9" w:rsidP="00612528">
      <w:pPr>
        <w:tabs>
          <w:tab w:val="num" w:pos="426"/>
        </w:tabs>
        <w:spacing w:before="120" w:after="120"/>
        <w:ind w:left="284"/>
        <w:jc w:val="both"/>
        <w:rPr>
          <w:rFonts w:ascii="Times New Roman" w:hAnsi="Times New Roman" w:cs="Times New Roman"/>
          <w:iCs/>
        </w:rPr>
      </w:pPr>
      <w:r>
        <w:rPr>
          <w:rFonts w:ascii="Times New Roman" w:hAnsi="Times New Roman" w:cs="Times New Roman"/>
          <w:iCs/>
        </w:rPr>
        <w:t xml:space="preserve">- </w:t>
      </w:r>
      <w:r w:rsidR="00672B58" w:rsidRPr="00672B58">
        <w:rPr>
          <w:rFonts w:ascii="Times New Roman" w:hAnsi="Times New Roman" w:cs="Times New Roman"/>
          <w:iCs/>
        </w:rPr>
        <w:t>a mezzo PEC all’indirizzo:</w:t>
      </w:r>
      <w:r>
        <w:rPr>
          <w:rFonts w:ascii="Times New Roman" w:hAnsi="Times New Roman" w:cs="Times New Roman"/>
          <w:iCs/>
        </w:rPr>
        <w:t xml:space="preserve"> </w:t>
      </w:r>
      <w:hyperlink r:id="rId8" w:history="1">
        <w:r w:rsidR="00672B58" w:rsidRPr="00672B58">
          <w:rPr>
            <w:rStyle w:val="Collegamentoipertestuale"/>
            <w:rFonts w:ascii="Times New Roman" w:eastAsiaTheme="minorEastAsia" w:hAnsi="Times New Roman" w:cs="Times New Roman"/>
            <w:lang w:eastAsia="it-IT"/>
          </w:rPr>
          <w:t>regione.marche.paesaggioterritorio@emarche.it</w:t>
        </w:r>
      </w:hyperlink>
    </w:p>
    <w:p w:rsidR="00C8424C" w:rsidRDefault="005416D9" w:rsidP="00612528">
      <w:pPr>
        <w:widowControl w:val="0"/>
        <w:spacing w:after="0" w:line="240" w:lineRule="auto"/>
        <w:ind w:left="284"/>
        <w:jc w:val="both"/>
        <w:rPr>
          <w:rFonts w:ascii="Times New Roman" w:eastAsiaTheme="minorEastAsia" w:hAnsi="Times New Roman" w:cs="Times New Roman"/>
          <w:lang w:eastAsia="it-IT"/>
        </w:rPr>
      </w:pPr>
      <w:r>
        <w:rPr>
          <w:rFonts w:ascii="Times New Roman" w:hAnsi="Times New Roman" w:cs="Times New Roman"/>
          <w:iCs/>
        </w:rPr>
        <w:t xml:space="preserve">- </w:t>
      </w:r>
      <w:r w:rsidRPr="006C606E">
        <w:rPr>
          <w:rFonts w:ascii="Times New Roman" w:hAnsi="Times New Roman" w:cs="Times New Roman"/>
          <w:iCs/>
        </w:rPr>
        <w:t>consegnata a mano</w:t>
      </w:r>
      <w:r>
        <w:rPr>
          <w:rFonts w:ascii="Times New Roman" w:hAnsi="Times New Roman" w:cs="Times New Roman"/>
          <w:iCs/>
        </w:rPr>
        <w:t xml:space="preserve"> all’indirizzo:</w:t>
      </w:r>
      <w:r w:rsidR="00C8424C" w:rsidRPr="005416D9">
        <w:rPr>
          <w:rFonts w:ascii="Times New Roman" w:hAnsi="Times New Roman" w:cs="Times New Roman"/>
          <w:iCs/>
        </w:rPr>
        <w:t xml:space="preserve"> “P.F.</w:t>
      </w:r>
      <w:r w:rsidR="00672B58" w:rsidRPr="005416D9">
        <w:rPr>
          <w:rFonts w:ascii="Times New Roman" w:hAnsi="Times New Roman" w:cs="Times New Roman"/>
          <w:iCs/>
        </w:rPr>
        <w:t xml:space="preserve"> Urbanistica, Paesaggio, Informazioni territoriali, E</w:t>
      </w:r>
      <w:r w:rsidR="00C8424C" w:rsidRPr="005416D9">
        <w:rPr>
          <w:rFonts w:ascii="Times New Roman" w:hAnsi="Times New Roman" w:cs="Times New Roman"/>
          <w:iCs/>
        </w:rPr>
        <w:t xml:space="preserve">dilizia, </w:t>
      </w:r>
      <w:r w:rsidR="00672B58" w:rsidRPr="005416D9">
        <w:rPr>
          <w:rFonts w:ascii="Times New Roman" w:hAnsi="Times New Roman" w:cs="Times New Roman"/>
          <w:iCs/>
        </w:rPr>
        <w:t>Espropriazioni</w:t>
      </w:r>
      <w:r w:rsidR="00C8424C" w:rsidRPr="005416D9">
        <w:rPr>
          <w:rFonts w:ascii="Times New Roman" w:hAnsi="Times New Roman" w:cs="Times New Roman"/>
          <w:iCs/>
        </w:rPr>
        <w:t xml:space="preserve">” via </w:t>
      </w:r>
      <w:r w:rsidR="0047450A" w:rsidRPr="005416D9">
        <w:rPr>
          <w:rFonts w:ascii="Times New Roman" w:hAnsi="Times New Roman" w:cs="Times New Roman"/>
          <w:iCs/>
        </w:rPr>
        <w:t>Tiziano</w:t>
      </w:r>
      <w:r w:rsidR="00C8424C" w:rsidRPr="005416D9">
        <w:rPr>
          <w:rFonts w:ascii="Times New Roman" w:eastAsiaTheme="minorEastAsia" w:hAnsi="Times New Roman" w:cs="Times New Roman"/>
          <w:lang w:eastAsia="it-IT"/>
        </w:rPr>
        <w:t>,</w:t>
      </w:r>
      <w:r w:rsidR="0047450A" w:rsidRPr="005416D9">
        <w:rPr>
          <w:rFonts w:ascii="Times New Roman" w:eastAsiaTheme="minorEastAsia" w:hAnsi="Times New Roman" w:cs="Times New Roman"/>
          <w:lang w:eastAsia="it-IT"/>
        </w:rPr>
        <w:t>44</w:t>
      </w:r>
      <w:r w:rsidR="00C8424C" w:rsidRPr="005416D9">
        <w:rPr>
          <w:rFonts w:ascii="Times New Roman" w:eastAsiaTheme="minorEastAsia" w:hAnsi="Times New Roman" w:cs="Times New Roman"/>
          <w:lang w:eastAsia="it-IT"/>
        </w:rPr>
        <w:t xml:space="preserve"> - 6012</w:t>
      </w:r>
      <w:r w:rsidR="00750E48" w:rsidRPr="005416D9">
        <w:rPr>
          <w:rFonts w:ascii="Times New Roman" w:eastAsiaTheme="minorEastAsia" w:hAnsi="Times New Roman" w:cs="Times New Roman"/>
          <w:lang w:eastAsia="it-IT"/>
        </w:rPr>
        <w:t>0</w:t>
      </w:r>
      <w:r w:rsidR="00C8424C" w:rsidRPr="005416D9">
        <w:rPr>
          <w:rFonts w:ascii="Times New Roman" w:eastAsiaTheme="minorEastAsia" w:hAnsi="Times New Roman" w:cs="Times New Roman"/>
          <w:lang w:eastAsia="it-IT"/>
        </w:rPr>
        <w:t xml:space="preserve"> Ancona; </w:t>
      </w:r>
    </w:p>
    <w:p w:rsidR="00650BA8" w:rsidRPr="005416D9" w:rsidRDefault="00650BA8" w:rsidP="005416D9">
      <w:pPr>
        <w:widowControl w:val="0"/>
        <w:spacing w:after="0" w:line="240" w:lineRule="auto"/>
        <w:jc w:val="both"/>
        <w:rPr>
          <w:rFonts w:ascii="Times New Roman" w:hAnsi="Times New Roman" w:cs="Times New Roman"/>
          <w:iCs/>
        </w:rPr>
      </w:pPr>
    </w:p>
    <w:p w:rsidR="00650BA8" w:rsidRDefault="002E29F3" w:rsidP="00650BA8">
      <w:pPr>
        <w:pStyle w:val="PreformattatoHTML"/>
        <w:jc w:val="both"/>
        <w:rPr>
          <w:rFonts w:ascii="Times New Roman" w:eastAsiaTheme="minorEastAsia" w:hAnsi="Times New Roman" w:cs="Times New Roman"/>
          <w:sz w:val="22"/>
          <w:szCs w:val="22"/>
        </w:rPr>
      </w:pPr>
      <w:r>
        <w:rPr>
          <w:rFonts w:ascii="Times New Roman" w:eastAsia="Times New Roman" w:hAnsi="Times New Roman" w:cs="Times New Roman"/>
          <w:sz w:val="22"/>
          <w:szCs w:val="22"/>
        </w:rPr>
        <w:t>L</w:t>
      </w:r>
      <w:r w:rsidR="00650BA8">
        <w:rPr>
          <w:rFonts w:ascii="Times New Roman" w:eastAsia="Times New Roman" w:hAnsi="Times New Roman" w:cs="Times New Roman"/>
          <w:sz w:val="22"/>
          <w:szCs w:val="22"/>
        </w:rPr>
        <w:t xml:space="preserve">a  domanda dovrà </w:t>
      </w:r>
      <w:r>
        <w:rPr>
          <w:rFonts w:ascii="Times New Roman" w:eastAsia="Times New Roman" w:hAnsi="Times New Roman" w:cs="Times New Roman"/>
          <w:sz w:val="22"/>
          <w:szCs w:val="22"/>
        </w:rPr>
        <w:t>riportare</w:t>
      </w:r>
      <w:r w:rsidR="00650BA8">
        <w:rPr>
          <w:rFonts w:ascii="Times New Roman" w:eastAsia="Times New Roman" w:hAnsi="Times New Roman" w:cs="Times New Roman"/>
          <w:sz w:val="22"/>
          <w:szCs w:val="22"/>
        </w:rPr>
        <w:t xml:space="preserve"> </w:t>
      </w:r>
      <w:r w:rsidR="00650BA8" w:rsidRPr="00D80585">
        <w:rPr>
          <w:rFonts w:ascii="Times New Roman" w:eastAsiaTheme="minorEastAsia" w:hAnsi="Times New Roman" w:cs="Times New Roman"/>
          <w:sz w:val="22"/>
          <w:szCs w:val="22"/>
        </w:rPr>
        <w:t>l’indicazione “</w:t>
      </w:r>
      <w:r w:rsidR="00650BA8" w:rsidRPr="00D80585">
        <w:rPr>
          <w:rFonts w:ascii="Times New Roman" w:eastAsiaTheme="minorEastAsia" w:hAnsi="Times New Roman" w:cs="Times New Roman"/>
          <w:b/>
          <w:sz w:val="22"/>
          <w:szCs w:val="22"/>
        </w:rPr>
        <w:t>DGR 14 maggio 2018, n. 602 - Programmazione triennale</w:t>
      </w:r>
      <w:r w:rsidR="00650BA8" w:rsidRPr="006C606E">
        <w:rPr>
          <w:rFonts w:ascii="Times New Roman" w:eastAsiaTheme="minorEastAsia" w:hAnsi="Times New Roman" w:cs="Times New Roman"/>
          <w:b/>
          <w:sz w:val="22"/>
          <w:szCs w:val="22"/>
        </w:rPr>
        <w:t xml:space="preserve"> 2018-2020 in materia di edilizia scolastica</w:t>
      </w:r>
      <w:r w:rsidR="00650BA8">
        <w:rPr>
          <w:rFonts w:ascii="Times New Roman" w:eastAsiaTheme="minorEastAsia" w:hAnsi="Times New Roman" w:cs="Times New Roman"/>
          <w:b/>
          <w:sz w:val="22"/>
          <w:szCs w:val="22"/>
        </w:rPr>
        <w:t xml:space="preserve"> – aggiornamento 2019</w:t>
      </w:r>
      <w:r w:rsidR="00650BA8" w:rsidRPr="006C606E">
        <w:rPr>
          <w:rFonts w:ascii="Times New Roman" w:eastAsiaTheme="minorEastAsia" w:hAnsi="Times New Roman" w:cs="Times New Roman"/>
          <w:sz w:val="22"/>
          <w:szCs w:val="22"/>
        </w:rPr>
        <w:t>”</w:t>
      </w:r>
      <w:r w:rsidR="00650BA8">
        <w:rPr>
          <w:rFonts w:ascii="Times New Roman" w:eastAsiaTheme="minorEastAsia" w:hAnsi="Times New Roman" w:cs="Times New Roman"/>
          <w:sz w:val="22"/>
          <w:szCs w:val="22"/>
        </w:rPr>
        <w:t>.</w:t>
      </w:r>
    </w:p>
    <w:p w:rsidR="00C8424C" w:rsidRPr="002F32A1" w:rsidRDefault="00C8424C" w:rsidP="002F32A1">
      <w:pPr>
        <w:pStyle w:val="Paragrafoelenco"/>
        <w:numPr>
          <w:ilvl w:val="0"/>
          <w:numId w:val="23"/>
        </w:numPr>
        <w:tabs>
          <w:tab w:val="num" w:pos="426"/>
        </w:tabs>
        <w:spacing w:before="120" w:after="120"/>
        <w:ind w:left="284" w:hanging="284"/>
        <w:jc w:val="both"/>
        <w:rPr>
          <w:rFonts w:ascii="Times New Roman" w:hAnsi="Times New Roman" w:cs="Times New Roman"/>
          <w:iCs/>
        </w:rPr>
      </w:pPr>
      <w:r w:rsidRPr="002F32A1">
        <w:rPr>
          <w:rFonts w:ascii="Times New Roman" w:hAnsi="Times New Roman" w:cs="Times New Roman"/>
          <w:iCs/>
        </w:rPr>
        <w:t>Indicazioni per la compilazione:</w:t>
      </w:r>
    </w:p>
    <w:p w:rsidR="00C8424C" w:rsidRPr="00955E53" w:rsidRDefault="00C8424C" w:rsidP="002F32A1">
      <w:pPr>
        <w:widowControl w:val="0"/>
        <w:numPr>
          <w:ilvl w:val="0"/>
          <w:numId w:val="5"/>
        </w:numPr>
        <w:suppressAutoHyphens/>
        <w:spacing w:before="60" w:line="240" w:lineRule="auto"/>
        <w:ind w:left="709" w:hanging="425"/>
        <w:jc w:val="both"/>
        <w:textAlignment w:val="baseline"/>
        <w:rPr>
          <w:rFonts w:ascii="Times New Roman" w:hAnsi="Times New Roman" w:cs="Times New Roman"/>
          <w:color w:val="00000A"/>
        </w:rPr>
      </w:pPr>
      <w:r w:rsidRPr="00955E53">
        <w:rPr>
          <w:rFonts w:ascii="Times New Roman" w:hAnsi="Times New Roman" w:cs="Times New Roman"/>
          <w:bCs/>
          <w:color w:val="00000A"/>
        </w:rPr>
        <w:t>indicazione della tipologia d’intervento fra quelle descritte nell’articolo 3, denominazione del progetto e relativo CUP, allegati progettuali;</w:t>
      </w:r>
    </w:p>
    <w:p w:rsidR="00C8424C" w:rsidRPr="00955E53" w:rsidRDefault="00C8424C" w:rsidP="002F32A1">
      <w:pPr>
        <w:widowControl w:val="0"/>
        <w:numPr>
          <w:ilvl w:val="0"/>
          <w:numId w:val="5"/>
        </w:numPr>
        <w:suppressAutoHyphens/>
        <w:spacing w:before="60" w:line="240" w:lineRule="auto"/>
        <w:ind w:left="709" w:hanging="425"/>
        <w:jc w:val="both"/>
        <w:textAlignment w:val="baseline"/>
        <w:rPr>
          <w:rFonts w:ascii="Times New Roman" w:hAnsi="Times New Roman" w:cs="Times New Roman"/>
          <w:color w:val="00000A"/>
        </w:rPr>
      </w:pPr>
      <w:r w:rsidRPr="00955E53">
        <w:rPr>
          <w:rFonts w:ascii="Times New Roman" w:hAnsi="Times New Roman" w:cs="Times New Roman"/>
          <w:bCs/>
          <w:color w:val="00000A"/>
        </w:rPr>
        <w:t>codice dell’edificio scolastico (esclusi i casi di nuova costruzione art. 3, lettera a) e lettera c2) e codice del punto di erogazione del servizio, come da Anagrafe Regionale dell’Edilizia Scolastica (ARES). I</w:t>
      </w:r>
      <w:r w:rsidRPr="00955E53">
        <w:rPr>
          <w:rFonts w:ascii="Times New Roman" w:hAnsi="Times New Roman" w:cs="Times New Roman"/>
          <w:color w:val="00000A"/>
        </w:rPr>
        <w:t xml:space="preserve"> dati relativi all’edificio interessato (se già esistente) devono essere regolarmente inseriti nell’Anagrafe Regionale dell’Edilizia S</w:t>
      </w:r>
      <w:r w:rsidRPr="00955E53">
        <w:rPr>
          <w:rFonts w:ascii="Times New Roman" w:hAnsi="Times New Roman" w:cs="Times New Roman"/>
          <w:bCs/>
          <w:color w:val="00000A"/>
        </w:rPr>
        <w:t>colastica (ARES);</w:t>
      </w:r>
    </w:p>
    <w:p w:rsidR="00C8424C" w:rsidRPr="00955E53" w:rsidRDefault="00C8424C" w:rsidP="002F32A1">
      <w:pPr>
        <w:widowControl w:val="0"/>
        <w:numPr>
          <w:ilvl w:val="0"/>
          <w:numId w:val="5"/>
        </w:numPr>
        <w:suppressAutoHyphens/>
        <w:spacing w:before="60" w:line="240" w:lineRule="auto"/>
        <w:ind w:left="709" w:hanging="425"/>
        <w:jc w:val="both"/>
        <w:textAlignment w:val="baseline"/>
        <w:rPr>
          <w:rFonts w:ascii="Times New Roman" w:hAnsi="Times New Roman" w:cs="Times New Roman"/>
          <w:color w:val="00000A"/>
        </w:rPr>
      </w:pPr>
      <w:r w:rsidRPr="00955E53">
        <w:rPr>
          <w:rFonts w:ascii="Times New Roman" w:hAnsi="Times New Roman" w:cs="Times New Roman"/>
          <w:bCs/>
          <w:color w:val="00000A"/>
        </w:rPr>
        <w:t>in caso d’intervento di adeguamento o miglioramento sismico relativo ad edifici ricadenti nelle zone 1 e 2 di elevato rischio sismico, analisi della vulnerabilità sismica o dichiarazione d’impegno ad effettuare l’analisi di vulnerabilità sismica in tempo utile per i successivi aggiornamenti della programmazione regionale 2018-2020;</w:t>
      </w:r>
    </w:p>
    <w:p w:rsidR="00C8424C" w:rsidRPr="00955E53" w:rsidRDefault="00C8424C" w:rsidP="002F32A1">
      <w:pPr>
        <w:widowControl w:val="0"/>
        <w:numPr>
          <w:ilvl w:val="0"/>
          <w:numId w:val="5"/>
        </w:numPr>
        <w:suppressAutoHyphens/>
        <w:spacing w:before="60" w:line="240" w:lineRule="auto"/>
        <w:ind w:left="709" w:hanging="425"/>
        <w:jc w:val="both"/>
        <w:textAlignment w:val="baseline"/>
        <w:rPr>
          <w:rFonts w:ascii="Times New Roman" w:hAnsi="Times New Roman" w:cs="Times New Roman"/>
          <w:color w:val="00000A"/>
        </w:rPr>
      </w:pPr>
      <w:r w:rsidRPr="00955E53">
        <w:rPr>
          <w:rFonts w:ascii="Times New Roman" w:hAnsi="Times New Roman" w:cs="Times New Roman"/>
          <w:bCs/>
          <w:color w:val="00000A"/>
        </w:rPr>
        <w:t>nel caso d’intervento di sostituzione edilizia per adeguamento sismico non conveniente, relazione tecnica nella quale sono descritte le ragioni di convenienza legate alla realizzazione di un nuovo edificio;</w:t>
      </w:r>
    </w:p>
    <w:p w:rsidR="00C8424C" w:rsidRPr="00955E53" w:rsidRDefault="00C8424C" w:rsidP="002F32A1">
      <w:pPr>
        <w:widowControl w:val="0"/>
        <w:numPr>
          <w:ilvl w:val="0"/>
          <w:numId w:val="5"/>
        </w:numPr>
        <w:suppressAutoHyphens/>
        <w:spacing w:before="62" w:after="57" w:line="240" w:lineRule="auto"/>
        <w:ind w:left="709" w:hanging="425"/>
        <w:jc w:val="both"/>
        <w:textAlignment w:val="baseline"/>
        <w:rPr>
          <w:rFonts w:ascii="Times New Roman" w:hAnsi="Times New Roman" w:cs="Times New Roman"/>
          <w:color w:val="00000A"/>
        </w:rPr>
      </w:pPr>
      <w:r w:rsidRPr="00955E53">
        <w:rPr>
          <w:rFonts w:ascii="Times New Roman" w:hAnsi="Times New Roman" w:cs="Times New Roman"/>
          <w:bCs/>
          <w:color w:val="00000A"/>
        </w:rPr>
        <w:t>nel</w:t>
      </w:r>
      <w:r w:rsidRPr="00955E53">
        <w:rPr>
          <w:rFonts w:ascii="Times New Roman" w:hAnsi="Times New Roman" w:cs="Times New Roman"/>
          <w:color w:val="00000A"/>
        </w:rPr>
        <w:t xml:space="preserve"> caso d’indicazione di tipologia d’intervento di tipo b), c1) d) di cui all’art. 3:</w:t>
      </w:r>
    </w:p>
    <w:p w:rsidR="00C8424C" w:rsidRPr="00955E53" w:rsidRDefault="00C8424C" w:rsidP="002F32A1">
      <w:pPr>
        <w:widowControl w:val="0"/>
        <w:numPr>
          <w:ilvl w:val="0"/>
          <w:numId w:val="10"/>
        </w:numPr>
        <w:tabs>
          <w:tab w:val="clear" w:pos="780"/>
        </w:tabs>
        <w:suppressAutoHyphens/>
        <w:spacing w:before="62" w:line="240" w:lineRule="auto"/>
        <w:ind w:left="993" w:hanging="198"/>
        <w:contextualSpacing/>
        <w:jc w:val="both"/>
        <w:textAlignment w:val="baseline"/>
        <w:rPr>
          <w:rFonts w:ascii="Times New Roman" w:hAnsi="Times New Roman" w:cs="Times New Roman"/>
          <w:b/>
          <w:color w:val="00000A"/>
        </w:rPr>
      </w:pPr>
      <w:r w:rsidRPr="00955E53">
        <w:rPr>
          <w:rFonts w:ascii="Times New Roman" w:hAnsi="Times New Roman" w:cs="Times New Roman"/>
          <w:bCs/>
          <w:color w:val="00000A"/>
        </w:rPr>
        <w:t xml:space="preserve">per gli edifici esistenti e ricadenti in zona 1 e 2 di elevato rischio sismico, documentazione comprovante che l’edificio è adeguato in termini di sicurezza strutturale ai livelli minimi previsti dalle vigenti norme tecniche di costruzione (NTC 2018) </w:t>
      </w:r>
      <w:r w:rsidRPr="00955E53">
        <w:rPr>
          <w:rFonts w:ascii="Times New Roman" w:hAnsi="Times New Roman" w:cs="Times New Roman"/>
          <w:color w:val="00000A"/>
        </w:rPr>
        <w:t>ovvero dichiarazione di impegno ad effettuare le relative verifiche nei tempi previsti all’art. 6 lettera c)</w:t>
      </w:r>
      <w:r w:rsidRPr="00955E53">
        <w:rPr>
          <w:rFonts w:ascii="Times New Roman" w:hAnsi="Times New Roman" w:cs="Times New Roman"/>
          <w:bCs/>
          <w:color w:val="00000A"/>
        </w:rPr>
        <w:t>;</w:t>
      </w:r>
    </w:p>
    <w:p w:rsidR="00C8424C" w:rsidRPr="00955E53" w:rsidRDefault="00C8424C" w:rsidP="002F32A1">
      <w:pPr>
        <w:widowControl w:val="0"/>
        <w:numPr>
          <w:ilvl w:val="0"/>
          <w:numId w:val="10"/>
        </w:numPr>
        <w:tabs>
          <w:tab w:val="clear" w:pos="780"/>
        </w:tabs>
        <w:suppressAutoHyphens/>
        <w:spacing w:before="62" w:line="240" w:lineRule="auto"/>
        <w:ind w:left="993" w:hanging="198"/>
        <w:contextualSpacing/>
        <w:jc w:val="both"/>
        <w:textAlignment w:val="baseline"/>
        <w:rPr>
          <w:rFonts w:ascii="Times New Roman" w:hAnsi="Times New Roman" w:cs="Times New Roman"/>
          <w:color w:val="00000A"/>
        </w:rPr>
      </w:pPr>
      <w:r w:rsidRPr="00955E53">
        <w:rPr>
          <w:rFonts w:ascii="Times New Roman" w:hAnsi="Times New Roman" w:cs="Times New Roman"/>
          <w:color w:val="00000A"/>
        </w:rPr>
        <w:t>per edifici costruiti secondo le “Norme tecniche 1984”, ricadenti in zona 3 e 4 all’epoca di costruzione, certificato attestante che la struttura è conforme alle norme sismiche vigenti all’epoca della costruzione, che non vi è stata modifica alla zonizzazione sismica e che non vi è obbligo normativo di effettuare ulteriori verifiche.</w:t>
      </w:r>
    </w:p>
    <w:p w:rsidR="00C8424C" w:rsidRPr="00955E53" w:rsidRDefault="00C8424C" w:rsidP="002F32A1">
      <w:pPr>
        <w:widowControl w:val="0"/>
        <w:numPr>
          <w:ilvl w:val="0"/>
          <w:numId w:val="10"/>
        </w:numPr>
        <w:tabs>
          <w:tab w:val="clear" w:pos="780"/>
        </w:tabs>
        <w:suppressAutoHyphens/>
        <w:spacing w:before="62" w:line="240" w:lineRule="auto"/>
        <w:ind w:left="993" w:hanging="198"/>
        <w:contextualSpacing/>
        <w:jc w:val="both"/>
        <w:textAlignment w:val="baseline"/>
        <w:rPr>
          <w:rFonts w:ascii="Times New Roman" w:hAnsi="Times New Roman" w:cs="Times New Roman"/>
          <w:color w:val="00000A"/>
        </w:rPr>
      </w:pPr>
      <w:r w:rsidRPr="00955E53">
        <w:rPr>
          <w:rFonts w:ascii="Times New Roman" w:hAnsi="Times New Roman" w:cs="Times New Roman"/>
          <w:color w:val="00000A"/>
        </w:rPr>
        <w:t xml:space="preserve">per edifici costruiti prima dell’entrata in vigore delle “Norme tecniche 1984” ed attualmente in </w:t>
      </w:r>
      <w:r w:rsidRPr="00955E53">
        <w:rPr>
          <w:rFonts w:ascii="Times New Roman" w:hAnsi="Times New Roman" w:cs="Times New Roman"/>
          <w:color w:val="00000A"/>
        </w:rPr>
        <w:lastRenderedPageBreak/>
        <w:t>zona 3 e 4 verifica di vulnerabilità sismica o dichiarazione di impegno ad effettuare la verifica nei tempi previsti all’art. 6 lettera c);</w:t>
      </w:r>
    </w:p>
    <w:p w:rsidR="00C8424C" w:rsidRPr="00955E53" w:rsidRDefault="00C8424C" w:rsidP="002F32A1">
      <w:pPr>
        <w:widowControl w:val="0"/>
        <w:numPr>
          <w:ilvl w:val="0"/>
          <w:numId w:val="5"/>
        </w:numPr>
        <w:tabs>
          <w:tab w:val="left" w:pos="709"/>
        </w:tabs>
        <w:suppressAutoHyphens/>
        <w:spacing w:before="62" w:after="57" w:line="240" w:lineRule="auto"/>
        <w:ind w:left="709"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progetto o studio di fattibilità con allegato quadro economico, in cui sono specificate le lavorazioni da effettuare ed il relativo costo suddivise nelle categorie omogenee previste dallo schema di domanda di partecipazione;</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indicazione del tipo di istituzione scolastica che ha o che avrà sede nell’edificio interessato dall’intervento (appartenenza al I ciclo o al II ciclo d’istruzione);</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indicazione se l’intervento proposto costituisce completamento di opere già eseguite in </w:t>
      </w:r>
      <w:r w:rsidRPr="00955E53">
        <w:rPr>
          <w:rFonts w:ascii="Times New Roman" w:hAnsi="Times New Roman" w:cs="Times New Roman"/>
          <w:color w:val="00000A"/>
        </w:rPr>
        <w:t>precedenza</w:t>
      </w:r>
      <w:r w:rsidRPr="00955E53">
        <w:rPr>
          <w:rFonts w:ascii="Times New Roman" w:hAnsi="Times New Roman" w:cs="Times New Roman"/>
          <w:bCs/>
          <w:color w:val="00000A"/>
        </w:rPr>
        <w:t xml:space="preserve"> e rimaste incompiute specificandone adeguatamente i motivi;</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dichiarazione da parte del Dirigente scolastico/responsabile della programmazione della rete scolastica dell'ente locale circa il numero di alunni iscritti all’Istituto che ha o avrà sede nell’edificio interessato dall’intervento;</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color w:val="00000A"/>
        </w:rPr>
        <w:t>dichiarazione in merito al dimensionamento minimo dell’edificio ai sensi del DM 18/12/1975 e dimensionamento effettivo come da progetto;</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nel caso di sostituzione di edificio in locazione passiva, impegno alla dismissione entro sei mesi dalla conclusione dei lavori e/o indicazione degli estremi della deliberazione con cui si è approvato il piano di razionalizzazione interessante l’edificio oggetto d’intervento;</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indicazione di eventuali provvedimenti di chiusura degli edifici scolastici disposti da Autorità competenti;</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impegno all'aggiornamento dei contenuti dell'Anagrafe Regionale dell’Edilizia Scolastica (ARES);</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color w:val="00000A"/>
        </w:rPr>
        <w:t>documentazione idonea alla valutazione della proposta rispetto agli ulteriori criteri indicati nel bando;</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color w:val="00000A"/>
        </w:rPr>
        <w:t>atto di approvazione del progetto e livello di progettazione;</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dichiarazione che l’edificio interessato non è oggetto soppressione per dimensionamento scolastico regionale (DGR n. </w:t>
      </w:r>
      <w:r w:rsidR="005A7B64">
        <w:rPr>
          <w:rFonts w:ascii="Times New Roman" w:hAnsi="Times New Roman" w:cs="Times New Roman"/>
          <w:bCs/>
          <w:color w:val="00000A"/>
        </w:rPr>
        <w:t>21/2019</w:t>
      </w:r>
      <w:r w:rsidRPr="00955E53">
        <w:rPr>
          <w:rFonts w:ascii="Times New Roman" w:hAnsi="Times New Roman" w:cs="Times New Roman"/>
          <w:bCs/>
          <w:color w:val="00000A"/>
        </w:rPr>
        <w:t xml:space="preserve"> per l’anno scolastico 201</w:t>
      </w:r>
      <w:r w:rsidR="005A7B64">
        <w:rPr>
          <w:rFonts w:ascii="Times New Roman" w:hAnsi="Times New Roman" w:cs="Times New Roman"/>
          <w:bCs/>
          <w:color w:val="00000A"/>
        </w:rPr>
        <w:t>9/2020</w:t>
      </w:r>
      <w:r w:rsidRPr="00955E53">
        <w:rPr>
          <w:rFonts w:ascii="Times New Roman" w:hAnsi="Times New Roman" w:cs="Times New Roman"/>
          <w:bCs/>
          <w:color w:val="00000A"/>
        </w:rPr>
        <w:t>);</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dichiarazione di proprietà dell’area  o, in alternativa dell’esistenza del vincolo preordinato all’esproprio o dell’impegno ad effettuare la necessaria variazione agli strumenti urbanistici per l’imposizione del vincolo;</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dati catastali;</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destinazione urbanistica attuale dell’area;</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dichiarazione che l’Ente locale si trova nelle condizioni che prevedono le maggiorazioni secondo l’articolo 6, allegato “A” alla DGR 07.07.2014 n. 809;</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dichiarazioni relative alla sostenibilità ambientale ed economica del progetto;</w:t>
      </w:r>
    </w:p>
    <w:p w:rsidR="00C8424C" w:rsidRPr="00955E53" w:rsidRDefault="00C8424C" w:rsidP="002F32A1">
      <w:pPr>
        <w:widowControl w:val="0"/>
        <w:numPr>
          <w:ilvl w:val="0"/>
          <w:numId w:val="5"/>
        </w:numPr>
        <w:tabs>
          <w:tab w:val="left" w:pos="709"/>
        </w:tabs>
        <w:suppressAutoHyphens/>
        <w:spacing w:before="60" w:line="240" w:lineRule="auto"/>
        <w:ind w:left="709" w:hanging="284"/>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APE </w:t>
      </w:r>
    </w:p>
    <w:p w:rsidR="00C8424C" w:rsidRPr="00955E53" w:rsidRDefault="00C8424C" w:rsidP="00C8424C">
      <w:pPr>
        <w:spacing w:after="0"/>
        <w:rPr>
          <w:rFonts w:ascii="Times New Roman" w:hAnsi="Times New Roman" w:cs="Times New Roman"/>
          <w:b/>
          <w:bCs/>
          <w:smallCaps/>
          <w:color w:val="C00000"/>
          <w:highlight w:val="green"/>
          <w:u w:val="single"/>
        </w:rPr>
      </w:pPr>
    </w:p>
    <w:p w:rsidR="00C8424C" w:rsidRPr="00955E53" w:rsidRDefault="00C8424C" w:rsidP="00C8424C">
      <w:pPr>
        <w:spacing w:after="0"/>
        <w:rPr>
          <w:rFonts w:ascii="Times New Roman" w:hAnsi="Times New Roman" w:cs="Times New Roman"/>
          <w:bCs/>
          <w:smallCaps/>
          <w:color w:val="C00000"/>
        </w:rPr>
      </w:pPr>
      <w:r w:rsidRPr="00955E53">
        <w:rPr>
          <w:rFonts w:ascii="Times New Roman" w:hAnsi="Times New Roman" w:cs="Times New Roman"/>
          <w:b/>
          <w:bCs/>
          <w:smallCaps/>
          <w:color w:val="C00000"/>
          <w:u w:val="single"/>
        </w:rPr>
        <w:t xml:space="preserve">Art. </w:t>
      </w:r>
      <w:r w:rsidR="004F2946">
        <w:rPr>
          <w:rFonts w:ascii="Times New Roman" w:hAnsi="Times New Roman" w:cs="Times New Roman"/>
          <w:b/>
          <w:bCs/>
          <w:smallCaps/>
          <w:color w:val="C00000"/>
          <w:u w:val="single"/>
        </w:rPr>
        <w:t>6</w:t>
      </w:r>
      <w:r w:rsidRPr="00955E53">
        <w:rPr>
          <w:rFonts w:ascii="Times New Roman" w:hAnsi="Times New Roman" w:cs="Times New Roman"/>
          <w:b/>
          <w:bCs/>
          <w:smallCaps/>
          <w:color w:val="C00000"/>
          <w:u w:val="single"/>
        </w:rPr>
        <w:t xml:space="preserve"> – Costi  non  riconosciuti </w:t>
      </w:r>
    </w:p>
    <w:p w:rsidR="00C8424C" w:rsidRPr="00955E53" w:rsidRDefault="00C8424C" w:rsidP="00C8424C">
      <w:pPr>
        <w:spacing w:after="0"/>
        <w:rPr>
          <w:rFonts w:ascii="Times New Roman" w:hAnsi="Times New Roman" w:cs="Times New Roman"/>
          <w:b/>
          <w:bCs/>
          <w:smallCaps/>
          <w:color w:val="C00000"/>
          <w:u w:val="single"/>
        </w:rPr>
      </w:pP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Pulizia locali;</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Traslochi, spostamento materiali didattici;</w:t>
      </w:r>
    </w:p>
    <w:p w:rsidR="00C8424C" w:rsidRPr="00955E53" w:rsidRDefault="00C8424C" w:rsidP="00C8424C">
      <w:pPr>
        <w:widowControl w:val="0"/>
        <w:numPr>
          <w:ilvl w:val="0"/>
          <w:numId w:val="11"/>
        </w:numPr>
        <w:suppressAutoHyphens/>
        <w:spacing w:before="60" w:after="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Sistemazioni temporanee;</w:t>
      </w:r>
    </w:p>
    <w:p w:rsidR="00C8424C" w:rsidRPr="00955E53" w:rsidRDefault="00C8424C" w:rsidP="00C8424C">
      <w:pPr>
        <w:widowControl w:val="0"/>
        <w:numPr>
          <w:ilvl w:val="0"/>
          <w:numId w:val="11"/>
        </w:numPr>
        <w:suppressAutoHyphens/>
        <w:spacing w:before="60" w:after="0" w:line="240" w:lineRule="auto"/>
        <w:ind w:left="284" w:hanging="284"/>
        <w:jc w:val="both"/>
        <w:textAlignment w:val="baseline"/>
        <w:rPr>
          <w:rFonts w:ascii="Times New Roman" w:hAnsi="Times New Roman" w:cs="Times New Roman"/>
          <w:bCs/>
          <w:color w:val="00000A"/>
        </w:rPr>
      </w:pPr>
      <w:r w:rsidRPr="00955E53">
        <w:rPr>
          <w:rFonts w:ascii="Times New Roman" w:hAnsi="Times New Roman" w:cs="Times New Roman"/>
          <w:bCs/>
          <w:color w:val="00000A"/>
        </w:rPr>
        <w:t>Quota del 20% dell’incentivo di cui all’art. 113 del D. Lgs n. 50/2016 comma 4 “</w:t>
      </w:r>
      <w:r w:rsidRPr="00955E53">
        <w:rPr>
          <w:rFonts w:ascii="Times New Roman" w:hAnsi="Times New Roman" w:cs="Times New Roman"/>
          <w:color w:val="00000A"/>
        </w:rPr>
        <w:t xml:space="preserve">destinato all'acquisto da </w:t>
      </w:r>
      <w:r w:rsidRPr="00955E53">
        <w:rPr>
          <w:rFonts w:ascii="Times New Roman" w:hAnsi="Times New Roman" w:cs="Times New Roman"/>
          <w:color w:val="00000A"/>
        </w:rPr>
        <w:lastRenderedPageBreak/>
        <w:t>parte dell'ente di beni, strumentazioni e tecnologie funzionali a progetti di innovazione anche per il progressivo uso di metodi e strumenti elettronici specifici di modellazione elettronica informativa per l'edilizia e le infrastrutture, di implementazione delle banche dati per il controllo e il miglioramento della capacità di spesa e di efficientamento informatico, con particolare riferimento alle metodologie e strumentazioni elettroniche per i controlli”;</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Arredi;</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Attrezzature, apparecchiature elettroniche;</w:t>
      </w:r>
    </w:p>
    <w:p w:rsidR="00C8424C" w:rsidRPr="00955E53" w:rsidRDefault="00C8424C" w:rsidP="00C8424C">
      <w:pPr>
        <w:widowControl w:val="0"/>
        <w:numPr>
          <w:ilvl w:val="0"/>
          <w:numId w:val="11"/>
        </w:numPr>
        <w:suppressAutoHyphens/>
        <w:spacing w:before="60" w:after="0" w:line="240" w:lineRule="auto"/>
        <w:ind w:left="284" w:hanging="284"/>
        <w:textAlignment w:val="baseline"/>
        <w:rPr>
          <w:rFonts w:ascii="Times New Roman" w:hAnsi="Times New Roman" w:cs="Times New Roman"/>
          <w:bCs/>
          <w:color w:val="00000A"/>
        </w:rPr>
      </w:pPr>
      <w:r w:rsidRPr="00955E53">
        <w:rPr>
          <w:rFonts w:ascii="Times New Roman" w:hAnsi="Times New Roman" w:cs="Times New Roman"/>
          <w:bCs/>
          <w:color w:val="00000A"/>
        </w:rPr>
        <w:t>Acquisizione dell’area.</w:t>
      </w:r>
    </w:p>
    <w:p w:rsidR="00C8424C" w:rsidRPr="00955E53" w:rsidRDefault="00C8424C" w:rsidP="00C8424C">
      <w:pPr>
        <w:spacing w:after="0"/>
        <w:rPr>
          <w:rFonts w:ascii="Times New Roman" w:hAnsi="Times New Roman" w:cs="Times New Roman"/>
          <w:smallCaps/>
          <w:color w:val="C00000"/>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 xml:space="preserve">Art. </w:t>
      </w:r>
      <w:r w:rsidR="004F2946">
        <w:rPr>
          <w:rFonts w:ascii="Times New Roman" w:hAnsi="Times New Roman" w:cs="Times New Roman"/>
          <w:b/>
          <w:bCs/>
          <w:smallCaps/>
          <w:color w:val="C00000"/>
          <w:u w:val="single"/>
        </w:rPr>
        <w:t>7</w:t>
      </w:r>
      <w:r w:rsidRPr="00955E53">
        <w:rPr>
          <w:rFonts w:ascii="Times New Roman" w:hAnsi="Times New Roman" w:cs="Times New Roman"/>
          <w:b/>
          <w:bCs/>
          <w:smallCaps/>
          <w:color w:val="C00000"/>
          <w:u w:val="single"/>
        </w:rPr>
        <w:t xml:space="preserve">  – Valutazione delle  proposte progettuali</w:t>
      </w:r>
    </w:p>
    <w:p w:rsidR="00C8424C" w:rsidRPr="00955E53" w:rsidRDefault="00C8424C" w:rsidP="00C8424C">
      <w:pPr>
        <w:widowControl w:val="0"/>
        <w:spacing w:before="120" w:after="0"/>
        <w:rPr>
          <w:rFonts w:ascii="Times New Roman" w:eastAsia="Calibri" w:hAnsi="Times New Roman" w:cs="Times New Roman"/>
          <w:bCs/>
          <w:color w:val="00000A"/>
        </w:rPr>
      </w:pPr>
      <w:r w:rsidRPr="00955E53">
        <w:rPr>
          <w:rFonts w:ascii="Times New Roman" w:eastAsia="Calibri" w:hAnsi="Times New Roman" w:cs="Times New Roman"/>
          <w:bCs/>
          <w:color w:val="00000A"/>
        </w:rPr>
        <w:t>La valutazione delle proposte progettuali è demandata ad apposita Commissione composta da:</w:t>
      </w:r>
    </w:p>
    <w:p w:rsidR="00C8424C" w:rsidRPr="00955E53" w:rsidRDefault="00C8424C" w:rsidP="00C8424C">
      <w:pPr>
        <w:widowControl w:val="0"/>
        <w:spacing w:before="120" w:after="0"/>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Dirigente della PF </w:t>
      </w:r>
      <w:r w:rsidR="00451446">
        <w:rPr>
          <w:rFonts w:ascii="Times New Roman" w:hAnsi="Times New Roman" w:cs="Times New Roman"/>
          <w:iCs/>
        </w:rPr>
        <w:t>Urbanistica, Paesaggio, Informazioni territoriali, E</w:t>
      </w:r>
      <w:r w:rsidR="00451446" w:rsidRPr="006C606E">
        <w:rPr>
          <w:rFonts w:ascii="Times New Roman" w:hAnsi="Times New Roman" w:cs="Times New Roman"/>
          <w:iCs/>
        </w:rPr>
        <w:t xml:space="preserve">dilizia, </w:t>
      </w:r>
      <w:r w:rsidR="00451446">
        <w:rPr>
          <w:rFonts w:ascii="Times New Roman" w:hAnsi="Times New Roman" w:cs="Times New Roman"/>
          <w:iCs/>
        </w:rPr>
        <w:t>Espropriazioni</w:t>
      </w:r>
      <w:r w:rsidR="00451446" w:rsidRPr="00955E53">
        <w:rPr>
          <w:rFonts w:ascii="Times New Roman" w:eastAsia="Calibri" w:hAnsi="Times New Roman" w:cs="Times New Roman"/>
          <w:bCs/>
          <w:color w:val="00000A"/>
        </w:rPr>
        <w:t xml:space="preserve"> </w:t>
      </w:r>
      <w:r w:rsidRPr="00955E53">
        <w:rPr>
          <w:rFonts w:ascii="Times New Roman" w:eastAsia="Calibri" w:hAnsi="Times New Roman" w:cs="Times New Roman"/>
          <w:bCs/>
          <w:color w:val="00000A"/>
        </w:rPr>
        <w:t xml:space="preserve">con funzione di Presidente, due commissari esperti, un segretario con funzioni di verbalizzante, scelti tra i dipendenti della Regione Marche, nominati dal Dirigente della PF </w:t>
      </w:r>
      <w:r w:rsidR="00451446">
        <w:rPr>
          <w:rFonts w:ascii="Times New Roman" w:hAnsi="Times New Roman" w:cs="Times New Roman"/>
          <w:iCs/>
        </w:rPr>
        <w:t>Urbanistica, Paesaggio, Informazioni territoriali, E</w:t>
      </w:r>
      <w:r w:rsidR="00451446" w:rsidRPr="006C606E">
        <w:rPr>
          <w:rFonts w:ascii="Times New Roman" w:hAnsi="Times New Roman" w:cs="Times New Roman"/>
          <w:iCs/>
        </w:rPr>
        <w:t xml:space="preserve">dilizia, </w:t>
      </w:r>
      <w:r w:rsidR="00451446">
        <w:rPr>
          <w:rFonts w:ascii="Times New Roman" w:hAnsi="Times New Roman" w:cs="Times New Roman"/>
          <w:iCs/>
        </w:rPr>
        <w:t>Espropriazioni</w:t>
      </w:r>
      <w:r w:rsidRPr="00955E53">
        <w:rPr>
          <w:rFonts w:ascii="Times New Roman" w:eastAsia="Calibri" w:hAnsi="Times New Roman" w:cs="Times New Roman"/>
          <w:bCs/>
          <w:color w:val="00000A"/>
        </w:rPr>
        <w:t xml:space="preserve">. </w:t>
      </w:r>
    </w:p>
    <w:p w:rsidR="00C8424C" w:rsidRPr="00955E53" w:rsidRDefault="00C8424C" w:rsidP="00C8424C">
      <w:pPr>
        <w:widowControl w:val="0"/>
        <w:spacing w:before="120" w:after="0"/>
        <w:rPr>
          <w:rFonts w:ascii="Times New Roman" w:eastAsia="Calibri" w:hAnsi="Times New Roman" w:cs="Times New Roman"/>
          <w:bCs/>
          <w:color w:val="00000A"/>
        </w:rPr>
      </w:pPr>
      <w:r w:rsidRPr="00955E53">
        <w:rPr>
          <w:rFonts w:ascii="Times New Roman" w:eastAsia="Calibri" w:hAnsi="Times New Roman" w:cs="Times New Roman"/>
          <w:bCs/>
          <w:color w:val="00000A"/>
        </w:rPr>
        <w:t>La commissione è nominata dopo la scadenza del termine per la presentazione delle proposte e procederà sulla base dei seguenti criteri.</w:t>
      </w:r>
    </w:p>
    <w:p w:rsidR="00C8424C" w:rsidRPr="00955E53" w:rsidRDefault="002863A4" w:rsidP="00C8424C">
      <w:pPr>
        <w:widowControl w:val="0"/>
        <w:spacing w:before="240"/>
        <w:rPr>
          <w:rFonts w:ascii="Times New Roman" w:hAnsi="Times New Roman" w:cs="Times New Roman"/>
          <w:b/>
          <w:color w:val="00000A"/>
        </w:rPr>
      </w:pPr>
      <w:r>
        <w:rPr>
          <w:rFonts w:ascii="Times New Roman" w:hAnsi="Times New Roman" w:cs="Times New Roman"/>
          <w:b/>
          <w:color w:val="00000A"/>
        </w:rPr>
        <w:t>Per la cumulabilità dei</w:t>
      </w:r>
      <w:r w:rsidR="00C8424C" w:rsidRPr="00955E53">
        <w:rPr>
          <w:rFonts w:ascii="Times New Roman" w:hAnsi="Times New Roman" w:cs="Times New Roman"/>
          <w:b/>
          <w:color w:val="00000A"/>
        </w:rPr>
        <w:t xml:space="preserve"> punteggi </w:t>
      </w:r>
      <w:r>
        <w:rPr>
          <w:rFonts w:ascii="Times New Roman" w:hAnsi="Times New Roman" w:cs="Times New Roman"/>
          <w:b/>
          <w:color w:val="00000A"/>
        </w:rPr>
        <w:t>vedi le note all’Allegato “B” scheda per l’attribuzione dei punteggi.</w:t>
      </w:r>
    </w:p>
    <w:p w:rsidR="00C8424C" w:rsidRPr="00955E53" w:rsidRDefault="00C8424C" w:rsidP="00C8424C">
      <w:pPr>
        <w:widowControl w:val="0"/>
        <w:spacing w:before="120"/>
        <w:rPr>
          <w:rFonts w:ascii="Times New Roman" w:hAnsi="Times New Roman" w:cs="Times New Roman"/>
          <w:color w:val="00000A"/>
        </w:rPr>
      </w:pPr>
      <w:r w:rsidRPr="00955E53">
        <w:rPr>
          <w:rFonts w:ascii="Times New Roman" w:hAnsi="Times New Roman" w:cs="Times New Roman"/>
          <w:bCs/>
          <w:color w:val="00000A"/>
          <w:u w:val="single"/>
        </w:rPr>
        <w:t>Art.3 lett. a)</w:t>
      </w:r>
      <w:r w:rsidRPr="00955E53">
        <w:rPr>
          <w:rFonts w:ascii="Times New Roman" w:hAnsi="Times New Roman" w:cs="Times New Roman"/>
          <w:bCs/>
          <w:color w:val="00000A"/>
        </w:rPr>
        <w:t xml:space="preserve"> interventi di adeguamento sismico, di nuova costruzione in sostituzione di edifici esistenti e di miglioramento sismico, max 50 punti: </w:t>
      </w:r>
    </w:p>
    <w:p w:rsidR="00C8424C" w:rsidRPr="00955E53" w:rsidRDefault="00C8424C" w:rsidP="00C8424C">
      <w:pPr>
        <w:widowControl w:val="0"/>
        <w:numPr>
          <w:ilvl w:val="1"/>
          <w:numId w:val="6"/>
        </w:numPr>
        <w:suppressAutoHyphens/>
        <w:spacing w:before="120" w:after="120"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bCs/>
          <w:color w:val="00000A"/>
        </w:rPr>
        <w:t>50 punti massimi attribuibili, nel caso di adeguamento o miglioramento sismico, secondo quanto previsto dall’allegato 1;</w:t>
      </w:r>
    </w:p>
    <w:p w:rsidR="00C8424C" w:rsidRPr="00955E53" w:rsidRDefault="00C8424C" w:rsidP="00C8424C">
      <w:pPr>
        <w:widowControl w:val="0"/>
        <w:numPr>
          <w:ilvl w:val="1"/>
          <w:numId w:val="6"/>
        </w:numPr>
        <w:suppressAutoHyphens/>
        <w:spacing w:before="120" w:after="120"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color w:val="00000A"/>
        </w:rPr>
        <w:t>50 punti nel caso di nuova costruzione.</w:t>
      </w:r>
    </w:p>
    <w:p w:rsidR="00C8424C" w:rsidRPr="00955E53" w:rsidRDefault="00C8424C" w:rsidP="00C8424C">
      <w:pPr>
        <w:widowControl w:val="0"/>
        <w:spacing w:before="120"/>
        <w:rPr>
          <w:rFonts w:ascii="Times New Roman" w:hAnsi="Times New Roman" w:cs="Times New Roman"/>
          <w:color w:val="00000A"/>
        </w:rPr>
      </w:pPr>
      <w:r w:rsidRPr="00955E53">
        <w:rPr>
          <w:rFonts w:ascii="Times New Roman" w:hAnsi="Times New Roman" w:cs="Times New Roman"/>
          <w:bCs/>
          <w:color w:val="00000A"/>
          <w:u w:val="single"/>
        </w:rPr>
        <w:t>Art.3 lett. b)</w:t>
      </w:r>
      <w:r w:rsidRPr="00955E53">
        <w:rPr>
          <w:rFonts w:ascii="Times New Roman" w:hAnsi="Times New Roman" w:cs="Times New Roman"/>
          <w:bCs/>
          <w:color w:val="00000A"/>
        </w:rPr>
        <w:t xml:space="preserve"> interventi finalizzati all’ottenimento del certificato di agibilità </w:t>
      </w:r>
      <w:r w:rsidRPr="00955E53">
        <w:rPr>
          <w:rFonts w:ascii="Times New Roman" w:hAnsi="Times New Roman" w:cs="Times New Roman"/>
          <w:color w:val="00000A"/>
        </w:rPr>
        <w:t>(messa a norma dell’edificio)</w:t>
      </w:r>
      <w:r w:rsidRPr="00955E53">
        <w:rPr>
          <w:rFonts w:ascii="Times New Roman" w:hAnsi="Times New Roman" w:cs="Times New Roman"/>
          <w:bCs/>
          <w:color w:val="00000A"/>
        </w:rPr>
        <w:t xml:space="preserve">: max </w:t>
      </w:r>
      <w:r w:rsidRPr="00955E53">
        <w:rPr>
          <w:rFonts w:ascii="Times New Roman" w:hAnsi="Times New Roman" w:cs="Times New Roman"/>
          <w:bCs/>
          <w:color w:val="00000A"/>
          <w:u w:val="single"/>
        </w:rPr>
        <w:t>40 punti</w:t>
      </w:r>
      <w:r w:rsidRPr="00955E53">
        <w:rPr>
          <w:rFonts w:ascii="Times New Roman" w:hAnsi="Times New Roman" w:cs="Times New Roman"/>
          <w:bCs/>
          <w:color w:val="00000A"/>
        </w:rPr>
        <w:t xml:space="preserve">: </w:t>
      </w:r>
    </w:p>
    <w:p w:rsidR="00C8424C" w:rsidRPr="00955E53" w:rsidRDefault="00C8424C" w:rsidP="00C8424C">
      <w:pPr>
        <w:widowControl w:val="0"/>
        <w:numPr>
          <w:ilvl w:val="0"/>
          <w:numId w:val="7"/>
        </w:numPr>
        <w:suppressAutoHyphens/>
        <w:spacing w:before="120" w:after="0"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interventi di adeguamento impiantistico e funzionale finalizzati all’ottenimento del certificato di agibilità: </w:t>
      </w:r>
    </w:p>
    <w:p w:rsidR="00C8424C" w:rsidRPr="00955E53" w:rsidRDefault="00C8424C" w:rsidP="00C8424C">
      <w:pPr>
        <w:widowControl w:val="0"/>
        <w:spacing w:before="120" w:after="0"/>
        <w:ind w:left="709" w:firstLine="1"/>
        <w:rPr>
          <w:rFonts w:ascii="Times New Roman" w:hAnsi="Times New Roman" w:cs="Times New Roman"/>
          <w:color w:val="00000A"/>
        </w:rPr>
      </w:pPr>
      <w:r w:rsidRPr="00955E53">
        <w:rPr>
          <w:rFonts w:ascii="Times New Roman" w:hAnsi="Times New Roman" w:cs="Times New Roman"/>
          <w:bCs/>
          <w:color w:val="00000A"/>
        </w:rPr>
        <w:t xml:space="preserve">A.1. interventi per la riduzione del rischio d’incendio: </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inadeguatezza percorsi di esodo e illuminazione di emergenza: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inadeguatezza della centrale termica: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carenza degli impianti di estinzione: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assenza di compartimentazioni (se prescritte):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carenza di sistemi di rilevazione (se prescritti):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inadeguatezza della segnaletica di sicurezza: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0"/>
          <w:numId w:val="9"/>
        </w:numPr>
        <w:tabs>
          <w:tab w:val="clear" w:pos="2160"/>
        </w:tabs>
        <w:suppressAutoHyphens/>
        <w:spacing w:before="57" w:after="57" w:line="240" w:lineRule="auto"/>
        <w:ind w:left="1134" w:firstLine="0"/>
        <w:contextualSpacing/>
        <w:textAlignment w:val="baseline"/>
        <w:rPr>
          <w:rFonts w:ascii="Times New Roman" w:hAnsi="Times New Roman" w:cs="Times New Roman"/>
          <w:color w:val="00000A"/>
        </w:rPr>
      </w:pPr>
      <w:r w:rsidRPr="00955E53">
        <w:rPr>
          <w:rFonts w:ascii="Times New Roman" w:hAnsi="Times New Roman" w:cs="Times New Roman"/>
          <w:bCs/>
          <w:color w:val="00000A"/>
        </w:rPr>
        <w:t xml:space="preserve">ulteriori carenze che impediscono il rilascio del CPI/SCIA: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spacing w:before="119" w:after="113"/>
        <w:ind w:left="1417" w:hanging="113"/>
        <w:contextualSpacing/>
        <w:rPr>
          <w:rFonts w:ascii="Times New Roman" w:eastAsia="Calibri" w:hAnsi="Times New Roman" w:cs="Times New Roman"/>
          <w:bCs/>
          <w:color w:val="00000A"/>
        </w:rPr>
      </w:pPr>
    </w:p>
    <w:p w:rsidR="00C8424C" w:rsidRPr="00955E53" w:rsidRDefault="00C8424C" w:rsidP="00C8424C">
      <w:pPr>
        <w:widowControl w:val="0"/>
        <w:spacing w:before="119" w:after="113"/>
        <w:ind w:left="709" w:firstLine="1"/>
        <w:contextualSpacing/>
        <w:rPr>
          <w:rFonts w:ascii="Times New Roman" w:eastAsia="Calibri" w:hAnsi="Times New Roman" w:cs="Times New Roman"/>
          <w:bCs/>
          <w:color w:val="00000A"/>
        </w:rPr>
      </w:pPr>
      <w:r w:rsidRPr="00955E53">
        <w:rPr>
          <w:rFonts w:ascii="Times New Roman" w:eastAsia="Calibri" w:hAnsi="Times New Roman" w:cs="Times New Roman"/>
          <w:bCs/>
          <w:color w:val="00000A"/>
        </w:rPr>
        <w:t>A.2. interventi per la riduzione del rischio elettrico e di folgorazione:</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quadri elettrici: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inefficacia dell’impianto di terra e di protezione dalle scariche atmosferiche: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delle linee di distribuzione: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di prese e interruttori: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assenza o insufficienza dell'illuminazione artificiale: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12"/>
        </w:numPr>
        <w:tabs>
          <w:tab w:val="clear" w:pos="2160"/>
        </w:tabs>
        <w:suppressAutoHyphens/>
        <w:spacing w:before="57" w:after="57" w:line="240" w:lineRule="auto"/>
        <w:ind w:left="1134" w:firstLine="0"/>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altre carenze che impediscono l'ottenimento di certificazioni di conformità: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spacing w:before="57" w:after="57"/>
        <w:ind w:left="1800"/>
        <w:contextualSpacing/>
        <w:rPr>
          <w:rFonts w:ascii="Times New Roman" w:hAnsi="Times New Roman" w:cs="Times New Roman"/>
          <w:bCs/>
          <w:color w:val="00000A"/>
        </w:rPr>
      </w:pPr>
    </w:p>
    <w:p w:rsidR="00C8424C" w:rsidRPr="00955E53" w:rsidRDefault="00C8424C" w:rsidP="00C8424C">
      <w:pPr>
        <w:widowControl w:val="0"/>
        <w:spacing w:before="238" w:after="198"/>
        <w:ind w:left="426"/>
        <w:contextualSpacing/>
        <w:rPr>
          <w:rFonts w:ascii="Times New Roman" w:hAnsi="Times New Roman" w:cs="Times New Roman"/>
          <w:color w:val="00000A"/>
        </w:rPr>
      </w:pPr>
      <w:r w:rsidRPr="00955E53">
        <w:rPr>
          <w:rFonts w:ascii="Times New Roman" w:hAnsi="Times New Roman" w:cs="Times New Roman"/>
          <w:bCs/>
          <w:color w:val="00000A"/>
        </w:rPr>
        <w:t>B. interventi di eliminazione di rischi da caduta per l’intero edificio di elementi dall’alto:</w:t>
      </w:r>
    </w:p>
    <w:p w:rsidR="00C8424C" w:rsidRPr="00955E53" w:rsidRDefault="00C8424C" w:rsidP="00C8424C">
      <w:pPr>
        <w:widowControl w:val="0"/>
        <w:numPr>
          <w:ilvl w:val="1"/>
          <w:numId w:val="7"/>
        </w:numPr>
        <w:tabs>
          <w:tab w:val="clear" w:pos="1506"/>
        </w:tabs>
        <w:suppressAutoHyphens/>
        <w:spacing w:before="238" w:after="198" w:line="240" w:lineRule="auto"/>
        <w:ind w:left="1418" w:hanging="284"/>
        <w:contextualSpacing/>
        <w:textAlignment w:val="baseline"/>
        <w:rPr>
          <w:rFonts w:ascii="Times New Roman" w:hAnsi="Times New Roman" w:cs="Times New Roman"/>
          <w:color w:val="00000A"/>
        </w:rPr>
      </w:pPr>
      <w:r w:rsidRPr="00955E53">
        <w:rPr>
          <w:rFonts w:ascii="Times New Roman" w:hAnsi="Times New Roman" w:cs="Times New Roman"/>
          <w:bCs/>
          <w:color w:val="00000A"/>
        </w:rPr>
        <w:t xml:space="preserve">rischio di caduta di elementi esterni (intonaci di aggetti e facciate, cornicioni, ecc.):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1"/>
          <w:numId w:val="7"/>
        </w:numPr>
        <w:tabs>
          <w:tab w:val="clear" w:pos="1506"/>
        </w:tabs>
        <w:suppressAutoHyphens/>
        <w:spacing w:before="238" w:after="198" w:line="240" w:lineRule="auto"/>
        <w:ind w:left="1418" w:hanging="284"/>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lastRenderedPageBreak/>
        <w:t>rischio di caduta di elementi interni (intonaci, controsoffitti, corpi illuminanti, serramenti, ecc.): punti 2;</w:t>
      </w:r>
    </w:p>
    <w:p w:rsidR="00C8424C" w:rsidRPr="00955E53" w:rsidRDefault="00C8424C" w:rsidP="00C8424C">
      <w:pPr>
        <w:widowControl w:val="0"/>
        <w:spacing w:before="238" w:after="198"/>
        <w:ind w:left="2448"/>
        <w:contextualSpacing/>
        <w:rPr>
          <w:rFonts w:ascii="Times New Roman" w:hAnsi="Times New Roman" w:cs="Times New Roman"/>
          <w:bCs/>
          <w:color w:val="00000A"/>
        </w:rPr>
      </w:pPr>
    </w:p>
    <w:p w:rsidR="00C8424C" w:rsidRPr="00955E53" w:rsidRDefault="00C8424C" w:rsidP="00C8424C">
      <w:pPr>
        <w:widowControl w:val="0"/>
        <w:spacing w:after="0"/>
        <w:ind w:left="426"/>
        <w:contextualSpacing/>
        <w:rPr>
          <w:rFonts w:ascii="Times New Roman" w:hAnsi="Times New Roman" w:cs="Times New Roman"/>
          <w:color w:val="00000A"/>
        </w:rPr>
      </w:pPr>
      <w:r w:rsidRPr="00955E53">
        <w:rPr>
          <w:rFonts w:ascii="Times New Roman" w:hAnsi="Times New Roman" w:cs="Times New Roman"/>
          <w:bCs/>
          <w:color w:val="00000A"/>
        </w:rPr>
        <w:t xml:space="preserve">C. interventi di abbattimento delle barriere architettoniche: </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percorsi e delle pavimentazioni esterne: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impossibilità di superamento di dislivelli e di accesso: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carenza di apparecchiature di sollevamento idonee per soggetti diversamente abili: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servizi igienici: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3"/>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dei percorsi interni (porte e relativi spazi di manovra):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spacing w:after="0"/>
        <w:ind w:left="1276" w:hanging="283"/>
        <w:contextualSpacing/>
        <w:rPr>
          <w:rFonts w:ascii="Times New Roman" w:hAnsi="Times New Roman" w:cs="Times New Roman"/>
          <w:bCs/>
          <w:color w:val="00000A"/>
        </w:rPr>
      </w:pPr>
    </w:p>
    <w:p w:rsidR="00C8424C" w:rsidRPr="00955E53" w:rsidRDefault="00C8424C" w:rsidP="00C8424C">
      <w:pPr>
        <w:widowControl w:val="0"/>
        <w:spacing w:after="0"/>
        <w:ind w:left="426"/>
        <w:contextualSpacing/>
        <w:rPr>
          <w:rFonts w:ascii="Times New Roman" w:hAnsi="Times New Roman" w:cs="Times New Roman"/>
          <w:color w:val="00000A"/>
        </w:rPr>
      </w:pPr>
      <w:r w:rsidRPr="00955E53">
        <w:rPr>
          <w:rFonts w:ascii="Times New Roman" w:hAnsi="Times New Roman" w:cs="Times New Roman"/>
          <w:bCs/>
          <w:color w:val="00000A"/>
        </w:rPr>
        <w:t xml:space="preserve">D. intervento di eliminazione di rischi diversi: </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insufficienza dell’illuminazione naturale: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rischi da rumore: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dell’altezza di parapetti e corrimano: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pavimenti interni sconnessi o sdrucciolevoli: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numPr>
          <w:ilvl w:val="1"/>
          <w:numId w:val="14"/>
        </w:numPr>
        <w:suppressAutoHyphens/>
        <w:spacing w:before="238" w:after="198" w:line="240" w:lineRule="auto"/>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inadeguatezza delle superfici vetrate: </w:t>
      </w:r>
      <w:r w:rsidRPr="00955E53">
        <w:rPr>
          <w:rFonts w:ascii="Times New Roman" w:hAnsi="Times New Roman" w:cs="Times New Roman"/>
          <w:bCs/>
          <w:color w:val="00000A"/>
          <w:u w:val="single"/>
        </w:rPr>
        <w:t>punti 0.5</w:t>
      </w:r>
      <w:r w:rsidRPr="00955E53">
        <w:rPr>
          <w:rFonts w:ascii="Times New Roman" w:hAnsi="Times New Roman" w:cs="Times New Roman"/>
          <w:bCs/>
          <w:color w:val="00000A"/>
        </w:rPr>
        <w:t>;</w:t>
      </w:r>
    </w:p>
    <w:p w:rsidR="00C8424C" w:rsidRPr="00955E53" w:rsidRDefault="00C8424C" w:rsidP="00C8424C">
      <w:pPr>
        <w:widowControl w:val="0"/>
        <w:spacing w:before="238" w:after="198"/>
        <w:ind w:left="1146"/>
        <w:contextualSpacing/>
        <w:rPr>
          <w:rFonts w:ascii="Times New Roman" w:hAnsi="Times New Roman" w:cs="Times New Roman"/>
          <w:bCs/>
          <w:color w:val="00000A"/>
        </w:rPr>
      </w:pPr>
    </w:p>
    <w:p w:rsidR="00C8424C" w:rsidRPr="00955E53" w:rsidRDefault="00C8424C" w:rsidP="00C8424C">
      <w:pPr>
        <w:widowControl w:val="0"/>
        <w:tabs>
          <w:tab w:val="left" w:pos="1755"/>
          <w:tab w:val="left" w:pos="3966"/>
        </w:tabs>
        <w:spacing w:before="57" w:after="57"/>
        <w:contextualSpacing/>
        <w:rPr>
          <w:rFonts w:ascii="Times New Roman" w:eastAsia="Calibri" w:hAnsi="Times New Roman" w:cs="Times New Roman"/>
          <w:color w:val="00000A"/>
        </w:rPr>
      </w:pPr>
      <w:r w:rsidRPr="00955E53">
        <w:rPr>
          <w:rFonts w:ascii="Times New Roman" w:eastAsia="Calibri" w:hAnsi="Times New Roman" w:cs="Times New Roman"/>
          <w:color w:val="00000A"/>
        </w:rPr>
        <w:t xml:space="preserve">Se l’intervento proposto prevede la nuova costruzione di un edificio scolastico in sostituzione (art. 3 lettera a) o per specifiche esigenze scolastiche (art 3 lettera c) vengono attribuiti 40 punti. </w:t>
      </w:r>
    </w:p>
    <w:p w:rsidR="00C8424C" w:rsidRPr="00955E53" w:rsidRDefault="00C8424C" w:rsidP="00C8424C">
      <w:pPr>
        <w:widowControl w:val="0"/>
        <w:tabs>
          <w:tab w:val="left" w:pos="1755"/>
          <w:tab w:val="left" w:pos="3966"/>
        </w:tabs>
        <w:spacing w:before="240"/>
        <w:rPr>
          <w:rFonts w:ascii="Times New Roman" w:hAnsi="Times New Roman" w:cs="Times New Roman"/>
          <w:color w:val="00000A"/>
          <w:u w:val="single"/>
        </w:rPr>
      </w:pPr>
      <w:r w:rsidRPr="00955E53">
        <w:rPr>
          <w:rFonts w:ascii="Times New Roman" w:hAnsi="Times New Roman" w:cs="Times New Roman"/>
          <w:color w:val="00000A"/>
          <w:u w:val="single"/>
        </w:rPr>
        <w:t>Art.3 lett. c)</w:t>
      </w:r>
      <w:r w:rsidRPr="00955E53">
        <w:rPr>
          <w:rFonts w:ascii="Times New Roman" w:hAnsi="Times New Roman" w:cs="Times New Roman"/>
          <w:color w:val="00000A"/>
        </w:rPr>
        <w:t xml:space="preserve"> ampliamenti e  </w:t>
      </w:r>
      <w:r w:rsidRPr="00955E53">
        <w:rPr>
          <w:rFonts w:ascii="Times New Roman" w:hAnsi="Times New Roman" w:cs="Times New Roman"/>
          <w:bCs/>
          <w:color w:val="00000A"/>
        </w:rPr>
        <w:t xml:space="preserve">nuove costruzioni per soddisfare specifiche esigenze scolastiche: </w:t>
      </w:r>
      <w:r w:rsidRPr="00955E53">
        <w:rPr>
          <w:rFonts w:ascii="Times New Roman" w:hAnsi="Times New Roman" w:cs="Times New Roman"/>
          <w:bCs/>
          <w:color w:val="00000A"/>
          <w:u w:val="single"/>
        </w:rPr>
        <w:t>30 punti.</w:t>
      </w:r>
    </w:p>
    <w:p w:rsidR="00C8424C" w:rsidRPr="00955E53" w:rsidRDefault="00C8424C" w:rsidP="00C8424C">
      <w:pPr>
        <w:widowControl w:val="0"/>
        <w:tabs>
          <w:tab w:val="left" w:pos="1755"/>
          <w:tab w:val="left" w:pos="3966"/>
        </w:tabs>
        <w:spacing w:before="240"/>
        <w:rPr>
          <w:rFonts w:ascii="Times New Roman" w:hAnsi="Times New Roman" w:cs="Times New Roman"/>
          <w:bCs/>
          <w:color w:val="00000A"/>
          <w:u w:val="single"/>
        </w:rPr>
      </w:pPr>
      <w:r w:rsidRPr="00955E53">
        <w:rPr>
          <w:rFonts w:ascii="Times New Roman" w:hAnsi="Times New Roman" w:cs="Times New Roman"/>
          <w:color w:val="00000A"/>
          <w:u w:val="single"/>
        </w:rPr>
        <w:t>Art.3 lett. d)</w:t>
      </w:r>
      <w:r w:rsidRPr="00955E53">
        <w:rPr>
          <w:rFonts w:ascii="Times New Roman" w:hAnsi="Times New Roman" w:cs="Times New Roman"/>
          <w:color w:val="00000A"/>
        </w:rPr>
        <w:t xml:space="preserve"> </w:t>
      </w:r>
      <w:r w:rsidRPr="00955E53">
        <w:rPr>
          <w:rFonts w:ascii="Times New Roman" w:hAnsi="Times New Roman" w:cs="Times New Roman"/>
          <w:bCs/>
          <w:color w:val="00000A"/>
        </w:rPr>
        <w:t xml:space="preserve">interventi diversi dai precedenti: </w:t>
      </w:r>
      <w:r w:rsidRPr="00955E53">
        <w:rPr>
          <w:rFonts w:ascii="Times New Roman" w:hAnsi="Times New Roman" w:cs="Times New Roman"/>
          <w:bCs/>
          <w:color w:val="00000A"/>
          <w:u w:val="single"/>
        </w:rPr>
        <w:t>5 punti.</w:t>
      </w:r>
    </w:p>
    <w:p w:rsidR="00C8424C" w:rsidRPr="00955E53" w:rsidRDefault="00C8424C" w:rsidP="00C8424C">
      <w:pPr>
        <w:widowControl w:val="0"/>
        <w:spacing w:before="120"/>
        <w:rPr>
          <w:rFonts w:ascii="Times New Roman" w:hAnsi="Times New Roman" w:cs="Times New Roman"/>
          <w:bCs/>
          <w:color w:val="00000A"/>
          <w:u w:val="single"/>
        </w:rPr>
      </w:pPr>
      <w:r w:rsidRPr="00955E53">
        <w:rPr>
          <w:rFonts w:ascii="Times New Roman" w:hAnsi="Times New Roman" w:cs="Times New Roman"/>
          <w:bCs/>
          <w:color w:val="00000A"/>
          <w:u w:val="single"/>
        </w:rPr>
        <w:t>Ulteriori criteri</w:t>
      </w:r>
    </w:p>
    <w:p w:rsidR="00C8424C" w:rsidRPr="00955E53" w:rsidRDefault="00C8424C" w:rsidP="00C8424C">
      <w:pPr>
        <w:widowControl w:val="0"/>
        <w:numPr>
          <w:ilvl w:val="0"/>
          <w:numId w:val="8"/>
        </w:numPr>
        <w:suppressAutoHyphens/>
        <w:spacing w:before="120" w:line="240" w:lineRule="auto"/>
        <w:ind w:left="1434" w:hanging="1008"/>
        <w:textAlignment w:val="baseline"/>
        <w:rPr>
          <w:rFonts w:ascii="Times New Roman" w:hAnsi="Times New Roman" w:cs="Times New Roman"/>
          <w:color w:val="00000A"/>
        </w:rPr>
      </w:pPr>
      <w:r w:rsidRPr="00955E53">
        <w:rPr>
          <w:rFonts w:ascii="Times New Roman" w:hAnsi="Times New Roman" w:cs="Times New Roman"/>
          <w:bCs/>
          <w:color w:val="00000A"/>
        </w:rPr>
        <w:t xml:space="preserve">livello di progettazione max punti 6: </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documento di fattibilità delle alternative progettuali: </w:t>
      </w:r>
      <w:r w:rsidRPr="00955E53">
        <w:rPr>
          <w:rFonts w:ascii="Times New Roman" w:hAnsi="Times New Roman" w:cs="Times New Roman"/>
          <w:bCs/>
          <w:color w:val="00000A"/>
          <w:u w:val="single"/>
        </w:rPr>
        <w:t>punti 0</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di fattibilità tecnica ed economica: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definitivo: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left"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esecutivo: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numPr>
          <w:ilvl w:val="0"/>
          <w:numId w:val="15"/>
        </w:numPr>
        <w:tabs>
          <w:tab w:val="clear" w:pos="1800"/>
          <w:tab w:val="num" w:pos="1560"/>
        </w:tabs>
        <w:suppressAutoHyphens/>
        <w:spacing w:before="170" w:after="198" w:line="240" w:lineRule="auto"/>
        <w:ind w:left="1560" w:hanging="42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progetto esecutivo munito di verbale di verifica, approvazione in linea tecnica e dichiarazione di cantierabilità: </w:t>
      </w:r>
      <w:r w:rsidRPr="00955E53">
        <w:rPr>
          <w:rFonts w:ascii="Times New Roman" w:hAnsi="Times New Roman" w:cs="Times New Roman"/>
          <w:bCs/>
          <w:color w:val="00000A"/>
          <w:u w:val="single"/>
        </w:rPr>
        <w:t>punti 6</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120" w:after="0" w:line="240" w:lineRule="auto"/>
        <w:ind w:left="425" w:firstLine="0"/>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w:t>
      </w:r>
      <w:r w:rsidR="008C438B" w:rsidRPr="00955E53">
        <w:rPr>
          <w:rFonts w:ascii="Times New Roman" w:hAnsi="Times New Roman" w:cs="Times New Roman"/>
          <w:bCs/>
          <w:color w:val="00000A"/>
        </w:rPr>
        <w:t>studentesca</w:t>
      </w:r>
      <w:r w:rsidRPr="00955E53">
        <w:rPr>
          <w:rFonts w:ascii="Times New Roman" w:hAnsi="Times New Roman" w:cs="Times New Roman"/>
          <w:bCs/>
          <w:color w:val="00000A"/>
        </w:rPr>
        <w:t xml:space="preserve"> beneficiaria dell’intervento, max punti 20:</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fino a 100 unità: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101 a 250 unità: </w:t>
      </w:r>
      <w:r w:rsidRPr="00955E53">
        <w:rPr>
          <w:rFonts w:ascii="Times New Roman" w:hAnsi="Times New Roman" w:cs="Times New Roman"/>
          <w:bCs/>
          <w:color w:val="00000A"/>
          <w:u w:val="single"/>
        </w:rPr>
        <w:t>punti 6</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251 a 300 unità: </w:t>
      </w:r>
      <w:r w:rsidRPr="00955E53">
        <w:rPr>
          <w:rFonts w:ascii="Times New Roman" w:hAnsi="Times New Roman" w:cs="Times New Roman"/>
          <w:bCs/>
          <w:color w:val="00000A"/>
          <w:u w:val="single"/>
        </w:rPr>
        <w:t>punti 8</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301 a 400 unità: </w:t>
      </w:r>
      <w:r w:rsidRPr="00955E53">
        <w:rPr>
          <w:rFonts w:ascii="Times New Roman" w:hAnsi="Times New Roman" w:cs="Times New Roman"/>
          <w:bCs/>
          <w:color w:val="00000A"/>
          <w:u w:val="single"/>
        </w:rPr>
        <w:t>punti 10</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401 a 500 unità: </w:t>
      </w:r>
      <w:r w:rsidRPr="00955E53">
        <w:rPr>
          <w:rFonts w:ascii="Times New Roman" w:hAnsi="Times New Roman" w:cs="Times New Roman"/>
          <w:bCs/>
          <w:color w:val="00000A"/>
          <w:u w:val="single"/>
        </w:rPr>
        <w:t>punti 12</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501 a 600 unità: </w:t>
      </w:r>
      <w:r w:rsidRPr="00955E53">
        <w:rPr>
          <w:rFonts w:ascii="Times New Roman" w:hAnsi="Times New Roman" w:cs="Times New Roman"/>
          <w:bCs/>
          <w:color w:val="00000A"/>
          <w:u w:val="single"/>
        </w:rPr>
        <w:t>punti 14</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601 a 700 unità: </w:t>
      </w:r>
      <w:r w:rsidRPr="00955E53">
        <w:rPr>
          <w:rFonts w:ascii="Times New Roman" w:hAnsi="Times New Roman" w:cs="Times New Roman"/>
          <w:bCs/>
          <w:color w:val="00000A"/>
          <w:u w:val="single"/>
        </w:rPr>
        <w:t>punti 16</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da 701 a 800 unità: </w:t>
      </w:r>
      <w:r w:rsidRPr="00955E53">
        <w:rPr>
          <w:rFonts w:ascii="Times New Roman" w:hAnsi="Times New Roman" w:cs="Times New Roman"/>
          <w:bCs/>
          <w:color w:val="00000A"/>
          <w:u w:val="single"/>
        </w:rPr>
        <w:t>punti 18</w:t>
      </w:r>
      <w:r w:rsidRPr="00955E53">
        <w:rPr>
          <w:rFonts w:ascii="Times New Roman" w:hAnsi="Times New Roman" w:cs="Times New Roman"/>
          <w:bCs/>
          <w:color w:val="00000A"/>
        </w:rPr>
        <w:t>;</w:t>
      </w:r>
    </w:p>
    <w:p w:rsidR="00C8424C" w:rsidRPr="00955E53" w:rsidRDefault="00C8424C" w:rsidP="00C8424C">
      <w:pPr>
        <w:widowControl w:val="0"/>
        <w:numPr>
          <w:ilvl w:val="0"/>
          <w:numId w:val="18"/>
        </w:numPr>
        <w:tabs>
          <w:tab w:val="clear" w:pos="1800"/>
          <w:tab w:val="num" w:pos="1560"/>
        </w:tabs>
        <w:suppressAutoHyphens/>
        <w:spacing w:before="170" w:after="198" w:line="240" w:lineRule="auto"/>
        <w:ind w:hanging="666"/>
        <w:contextualSpacing/>
        <w:jc w:val="both"/>
        <w:textAlignment w:val="baseline"/>
        <w:rPr>
          <w:rFonts w:ascii="Times New Roman" w:hAnsi="Times New Roman" w:cs="Times New Roman"/>
          <w:color w:val="00000A"/>
        </w:rPr>
      </w:pPr>
      <w:r w:rsidRPr="00955E53">
        <w:rPr>
          <w:rFonts w:ascii="Times New Roman" w:hAnsi="Times New Roman" w:cs="Times New Roman"/>
          <w:bCs/>
          <w:color w:val="00000A"/>
        </w:rPr>
        <w:t xml:space="preserve">popolazione studentesca oltre 800 unità: </w:t>
      </w:r>
      <w:r w:rsidRPr="00955E53">
        <w:rPr>
          <w:rFonts w:ascii="Times New Roman" w:hAnsi="Times New Roman" w:cs="Times New Roman"/>
          <w:bCs/>
          <w:color w:val="00000A"/>
          <w:u w:val="single"/>
        </w:rPr>
        <w:t>punti 20</w:t>
      </w:r>
      <w:r w:rsidRPr="00955E53">
        <w:rPr>
          <w:rFonts w:ascii="Times New Roman" w:hAnsi="Times New Roman" w:cs="Times New Roman"/>
          <w:bCs/>
          <w:color w:val="00000A"/>
        </w:rPr>
        <w:t>;</w:t>
      </w:r>
    </w:p>
    <w:p w:rsidR="00C8424C" w:rsidRPr="00955E53" w:rsidRDefault="00C8424C" w:rsidP="00C8424C">
      <w:pPr>
        <w:widowControl w:val="0"/>
        <w:tabs>
          <w:tab w:val="left" w:pos="1695"/>
        </w:tabs>
        <w:spacing w:before="170" w:after="198"/>
        <w:ind w:left="1440"/>
        <w:contextualSpacing/>
        <w:rPr>
          <w:rFonts w:ascii="Times New Roman" w:hAnsi="Times New Roman" w:cs="Times New Roman"/>
          <w:color w:val="00000A"/>
        </w:rPr>
      </w:pPr>
    </w:p>
    <w:p w:rsidR="00C8424C" w:rsidRPr="00955E53" w:rsidRDefault="00C8424C" w:rsidP="00C8424C">
      <w:pPr>
        <w:widowControl w:val="0"/>
        <w:numPr>
          <w:ilvl w:val="0"/>
          <w:numId w:val="8"/>
        </w:numPr>
        <w:suppressAutoHyphens/>
        <w:spacing w:before="120" w:after="0" w:line="240" w:lineRule="auto"/>
        <w:ind w:left="425" w:firstLine="0"/>
        <w:textAlignment w:val="baseline"/>
        <w:rPr>
          <w:rFonts w:ascii="Times New Roman" w:hAnsi="Times New Roman" w:cs="Times New Roman"/>
          <w:color w:val="00000A"/>
        </w:rPr>
      </w:pPr>
      <w:r w:rsidRPr="00955E53">
        <w:rPr>
          <w:rFonts w:ascii="Times New Roman" w:hAnsi="Times New Roman" w:cs="Times New Roman"/>
          <w:bCs/>
          <w:color w:val="00000A"/>
        </w:rPr>
        <w:t xml:space="preserve">sostenibilità, max punti 8: </w:t>
      </w:r>
    </w:p>
    <w:p w:rsidR="00C8424C" w:rsidRPr="00955E53" w:rsidRDefault="00C8424C" w:rsidP="00C8424C">
      <w:pPr>
        <w:widowControl w:val="0"/>
        <w:numPr>
          <w:ilvl w:val="0"/>
          <w:numId w:val="19"/>
        </w:numPr>
        <w:tabs>
          <w:tab w:val="clear" w:pos="1800"/>
          <w:tab w:val="num" w:pos="1560"/>
        </w:tabs>
        <w:suppressAutoHyphens/>
        <w:spacing w:before="170" w:after="198"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sostenibilità ambientale con progettazione di elevata qualità, minimizzo dei consumi di energia, garanzia benessere e salute degli occupanti (Direttiva 2002/91/CE, 2006/32/CE) – conformità del progetto ai criteri ambientali minimi per gli edifici pubblici aggiornati con decreto del Ministero dell’Ambiente  in data 11/10/2017 (GU n.259 del 06/11/2017):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19"/>
        </w:numPr>
        <w:tabs>
          <w:tab w:val="clear" w:pos="1800"/>
          <w:tab w:val="num" w:pos="1560"/>
        </w:tabs>
        <w:suppressAutoHyphens/>
        <w:spacing w:before="170" w:after="198"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sostenibilità economica in termini di fattibilità determinata mediante computo metrico sulla base dei prezziari regionali relativi alle opere pubbliche: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0" w:line="240" w:lineRule="auto"/>
        <w:ind w:left="425" w:firstLine="0"/>
        <w:textAlignment w:val="baseline"/>
        <w:rPr>
          <w:rFonts w:ascii="Times New Roman" w:hAnsi="Times New Roman" w:cs="Times New Roman"/>
          <w:bCs/>
          <w:color w:val="00000A"/>
        </w:rPr>
      </w:pPr>
      <w:r w:rsidRPr="00955E53">
        <w:rPr>
          <w:rFonts w:ascii="Times New Roman" w:hAnsi="Times New Roman" w:cs="Times New Roman"/>
          <w:bCs/>
          <w:color w:val="00000A"/>
        </w:rPr>
        <w:t>eliminazione di materiali contenenti amianto (m.c.a.), max punti 10:</w:t>
      </w:r>
    </w:p>
    <w:p w:rsidR="00C8424C" w:rsidRPr="00955E53" w:rsidRDefault="00C8424C" w:rsidP="00C8424C">
      <w:pPr>
        <w:widowControl w:val="0"/>
        <w:numPr>
          <w:ilvl w:val="0"/>
          <w:numId w:val="16"/>
        </w:numPr>
        <w:tabs>
          <w:tab w:val="clear" w:pos="1800"/>
          <w:tab w:val="num" w:pos="1560"/>
        </w:tabs>
        <w:suppressAutoHyphens/>
        <w:spacing w:after="0" w:line="240" w:lineRule="auto"/>
        <w:ind w:left="1560" w:hanging="426"/>
        <w:textAlignment w:val="baseline"/>
        <w:rPr>
          <w:rFonts w:ascii="Times New Roman" w:hAnsi="Times New Roman" w:cs="Times New Roman"/>
          <w:color w:val="00000A"/>
        </w:rPr>
      </w:pPr>
      <w:r w:rsidRPr="00955E53">
        <w:rPr>
          <w:rFonts w:ascii="Times New Roman" w:hAnsi="Times New Roman" w:cs="Times New Roman"/>
          <w:bCs/>
          <w:color w:val="00000A"/>
        </w:rPr>
        <w:t xml:space="preserve">in caso di m.c.a. presenti ma con emissioni entro i limiti: </w:t>
      </w:r>
      <w:r w:rsidRPr="00955E53">
        <w:rPr>
          <w:rFonts w:ascii="Times New Roman" w:hAnsi="Times New Roman" w:cs="Times New Roman"/>
          <w:bCs/>
          <w:color w:val="00000A"/>
          <w:u w:val="single"/>
        </w:rPr>
        <w:t>punti 0</w:t>
      </w:r>
      <w:r w:rsidRPr="00955E53">
        <w:rPr>
          <w:rFonts w:ascii="Times New Roman" w:hAnsi="Times New Roman" w:cs="Times New Roman"/>
          <w:bCs/>
          <w:color w:val="00000A"/>
        </w:rPr>
        <w:t>;</w:t>
      </w:r>
    </w:p>
    <w:p w:rsidR="00C8424C" w:rsidRPr="00955E53" w:rsidRDefault="00C8424C" w:rsidP="00C8424C">
      <w:pPr>
        <w:widowControl w:val="0"/>
        <w:numPr>
          <w:ilvl w:val="0"/>
          <w:numId w:val="16"/>
        </w:numPr>
        <w:tabs>
          <w:tab w:val="clear" w:pos="1800"/>
          <w:tab w:val="num" w:pos="1560"/>
        </w:tabs>
        <w:suppressAutoHyphens/>
        <w:spacing w:after="0" w:line="240" w:lineRule="auto"/>
        <w:ind w:left="1560" w:hanging="426"/>
        <w:textAlignment w:val="baseline"/>
        <w:rPr>
          <w:rFonts w:ascii="Times New Roman" w:hAnsi="Times New Roman" w:cs="Times New Roman"/>
          <w:color w:val="00000A"/>
        </w:rPr>
      </w:pPr>
      <w:r w:rsidRPr="00955E53">
        <w:rPr>
          <w:rFonts w:ascii="Times New Roman" w:hAnsi="Times New Roman" w:cs="Times New Roman"/>
          <w:bCs/>
          <w:color w:val="00000A"/>
        </w:rPr>
        <w:lastRenderedPageBreak/>
        <w:t xml:space="preserve">in caso di m.c.a. localizzati (canne fumarie, cassoni, ecc.) con emissioni oltre i limiti: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16"/>
        </w:numPr>
        <w:tabs>
          <w:tab w:val="clear" w:pos="1800"/>
          <w:tab w:val="num" w:pos="1560"/>
        </w:tabs>
        <w:suppressAutoHyphens/>
        <w:spacing w:after="0" w:line="240" w:lineRule="auto"/>
        <w:ind w:left="1560" w:hanging="426"/>
        <w:textAlignment w:val="baseline"/>
        <w:rPr>
          <w:rFonts w:ascii="Times New Roman" w:hAnsi="Times New Roman" w:cs="Times New Roman"/>
          <w:color w:val="00000A"/>
        </w:rPr>
      </w:pPr>
      <w:r w:rsidRPr="00955E53">
        <w:rPr>
          <w:rFonts w:ascii="Times New Roman" w:hAnsi="Times New Roman" w:cs="Times New Roman"/>
          <w:bCs/>
          <w:color w:val="00000A"/>
        </w:rPr>
        <w:t xml:space="preserve">in caso di m.c.a. diffusi (pannellature, </w:t>
      </w:r>
      <w:r w:rsidRPr="00955E53">
        <w:rPr>
          <w:rFonts w:ascii="Times New Roman" w:hAnsi="Times New Roman" w:cs="Times New Roman"/>
          <w:color w:val="00000A"/>
        </w:rPr>
        <w:t xml:space="preserve">pavimenti, tetti </w:t>
      </w:r>
      <w:r w:rsidRPr="00955E53">
        <w:rPr>
          <w:rFonts w:ascii="Times New Roman" w:hAnsi="Times New Roman" w:cs="Times New Roman"/>
          <w:bCs/>
          <w:color w:val="00000A"/>
        </w:rPr>
        <w:t xml:space="preserve">ecc.) con emissioni oltre i limiti: </w:t>
      </w:r>
      <w:r w:rsidRPr="00955E53">
        <w:rPr>
          <w:rFonts w:ascii="Times New Roman" w:hAnsi="Times New Roman" w:cs="Times New Roman"/>
          <w:bCs/>
          <w:color w:val="00000A"/>
          <w:u w:val="single"/>
        </w:rPr>
        <w:t>punti 10</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textAlignment w:val="baseline"/>
        <w:rPr>
          <w:rFonts w:ascii="Times New Roman" w:hAnsi="Times New Roman" w:cs="Times New Roman"/>
          <w:color w:val="00000A"/>
        </w:rPr>
      </w:pPr>
      <w:r w:rsidRPr="00955E53">
        <w:rPr>
          <w:rFonts w:ascii="Times New Roman" w:hAnsi="Times New Roman" w:cs="Times New Roman"/>
          <w:bCs/>
          <w:color w:val="00000A"/>
        </w:rPr>
        <w:t xml:space="preserve"> altre circostanze premianti:</w:t>
      </w:r>
    </w:p>
    <w:p w:rsidR="00C8424C" w:rsidRPr="00955E53" w:rsidRDefault="00C8424C" w:rsidP="00C8424C">
      <w:pPr>
        <w:widowControl w:val="0"/>
        <w:numPr>
          <w:ilvl w:val="0"/>
          <w:numId w:val="17"/>
        </w:numPr>
        <w:tabs>
          <w:tab w:val="clear" w:pos="1800"/>
          <w:tab w:val="left" w:pos="1560"/>
          <w:tab w:val="num" w:pos="2694"/>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completamento di lavori non ultimati per motivi indipendenti dall’Ente Beneficiario su insindacabile giudizio della commissione: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17"/>
        </w:numPr>
        <w:tabs>
          <w:tab w:val="clear" w:pos="1800"/>
          <w:tab w:val="left" w:pos="1560"/>
          <w:tab w:val="num" w:pos="2694"/>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dismissione di edifici in locazione passiva: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17"/>
        </w:numPr>
        <w:tabs>
          <w:tab w:val="clear" w:pos="1800"/>
          <w:tab w:val="left" w:pos="1560"/>
          <w:tab w:val="num" w:pos="2694"/>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lavori connessi a programmi di riorganizzazione scolastica: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chiusura dell’edificio disposta da autorità competente: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8"/>
        </w:numPr>
        <w:tabs>
          <w:tab w:val="left" w:pos="709"/>
        </w:tabs>
        <w:suppressAutoHyphens/>
        <w:spacing w:before="238" w:after="57" w:line="240" w:lineRule="auto"/>
        <w:ind w:left="709" w:hanging="283"/>
        <w:jc w:val="both"/>
        <w:textAlignment w:val="baseline"/>
        <w:rPr>
          <w:rFonts w:ascii="Times New Roman" w:hAnsi="Times New Roman" w:cs="Times New Roman"/>
          <w:color w:val="00000A"/>
        </w:rPr>
      </w:pPr>
      <w:r w:rsidRPr="00955E53">
        <w:rPr>
          <w:rFonts w:ascii="Times New Roman" w:hAnsi="Times New Roman" w:cs="Times New Roman"/>
          <w:color w:val="00000A"/>
        </w:rPr>
        <w:t>interventi di efficienza energetica coerenti con i requisiti tecnici previsti dal conto termico (DM del 16/02/2016) (ricorso al “Conto termico”)</w:t>
      </w:r>
      <w:r w:rsidRPr="00955E53">
        <w:rPr>
          <w:rFonts w:ascii="Times New Roman" w:hAnsi="Times New Roman" w:cs="Times New Roman"/>
          <w:bCs/>
          <w:color w:val="00000A"/>
        </w:rPr>
        <w:t xml:space="preserve">: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ricorso all’istituto del credito sportivo: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8"/>
        </w:numPr>
        <w:suppressAutoHyphens/>
        <w:spacing w:before="238" w:after="57" w:line="240" w:lineRule="auto"/>
        <w:ind w:left="426" w:firstLine="0"/>
        <w:jc w:val="both"/>
        <w:textAlignment w:val="baseline"/>
        <w:rPr>
          <w:rFonts w:ascii="Times New Roman" w:hAnsi="Times New Roman" w:cs="Times New Roman"/>
          <w:bCs/>
          <w:color w:val="00000A"/>
        </w:rPr>
      </w:pPr>
      <w:r w:rsidRPr="00955E53">
        <w:rPr>
          <w:rFonts w:ascii="Times New Roman" w:hAnsi="Times New Roman" w:cs="Times New Roman"/>
          <w:bCs/>
          <w:color w:val="00000A"/>
        </w:rPr>
        <w:t>ulteriori criteri regionali;</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Edificio a servizio di più Comuni: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Comuni in aree SNAI: punti 3; </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textAlignment w:val="baseline"/>
        <w:rPr>
          <w:rFonts w:ascii="Times New Roman" w:hAnsi="Times New Roman" w:cs="Times New Roman"/>
          <w:bCs/>
          <w:color w:val="00000A"/>
        </w:rPr>
      </w:pPr>
      <w:r w:rsidRPr="00955E53">
        <w:rPr>
          <w:rFonts w:ascii="Times New Roman" w:hAnsi="Times New Roman" w:cs="Times New Roman"/>
          <w:bCs/>
          <w:color w:val="00000A"/>
        </w:rPr>
        <w:t>Efficientamento energetico (punti non cumulabili):</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3.1  Raggiungimento della classe B: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3.2  Raggiungimento della classe A.1: </w:t>
      </w:r>
      <w:r w:rsidRPr="00955E53">
        <w:rPr>
          <w:rFonts w:ascii="Times New Roman" w:hAnsi="Times New Roman" w:cs="Times New Roman"/>
          <w:bCs/>
          <w:color w:val="00000A"/>
          <w:u w:val="single"/>
        </w:rPr>
        <w:t>punti 2,5</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3.3  Raggiungimento della classe A.2: </w:t>
      </w:r>
      <w:r w:rsidRPr="00955E53">
        <w:rPr>
          <w:rFonts w:ascii="Times New Roman" w:hAnsi="Times New Roman" w:cs="Times New Roman"/>
          <w:bCs/>
          <w:color w:val="00000A"/>
          <w:u w:val="single"/>
        </w:rPr>
        <w:t>punti 3</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3.4  Raggiungimento della classe A.3: </w:t>
      </w:r>
      <w:r w:rsidRPr="00955E53">
        <w:rPr>
          <w:rFonts w:ascii="Times New Roman" w:hAnsi="Times New Roman" w:cs="Times New Roman"/>
          <w:bCs/>
          <w:color w:val="00000A"/>
          <w:u w:val="single"/>
        </w:rPr>
        <w:t>punti 3,5</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3.5  Raggiungimento della classe A.4: </w:t>
      </w:r>
      <w:r w:rsidRPr="00955E53">
        <w:rPr>
          <w:rFonts w:ascii="Times New Roman" w:hAnsi="Times New Roman" w:cs="Times New Roman"/>
          <w:bCs/>
          <w:color w:val="00000A"/>
          <w:u w:val="single"/>
        </w:rPr>
        <w:t>punti 4</w:t>
      </w:r>
      <w:r w:rsidRPr="00955E53">
        <w:rPr>
          <w:rFonts w:ascii="Times New Roman" w:hAnsi="Times New Roman" w:cs="Times New Roman"/>
          <w:bCs/>
          <w:color w:val="00000A"/>
        </w:rPr>
        <w:t>;</w:t>
      </w:r>
    </w:p>
    <w:p w:rsidR="00C8424C" w:rsidRPr="00955E53" w:rsidRDefault="00C8424C" w:rsidP="00C8424C">
      <w:pPr>
        <w:widowControl w:val="0"/>
        <w:tabs>
          <w:tab w:val="left" w:pos="2694"/>
        </w:tabs>
        <w:spacing w:before="113" w:after="113"/>
        <w:ind w:left="1560"/>
        <w:contextualSpacing/>
        <w:rPr>
          <w:rFonts w:ascii="Times New Roman" w:hAnsi="Times New Roman" w:cs="Times New Roman"/>
          <w:bCs/>
          <w:color w:val="00000A"/>
        </w:rPr>
      </w:pPr>
      <w:r w:rsidRPr="00955E53">
        <w:rPr>
          <w:rFonts w:ascii="Times New Roman" w:hAnsi="Times New Roman" w:cs="Times New Roman"/>
          <w:bCs/>
          <w:color w:val="00000A"/>
        </w:rPr>
        <w:t xml:space="preserve">3.6  Edificio NZEB: </w:t>
      </w:r>
      <w:r w:rsidRPr="00955E53">
        <w:rPr>
          <w:rFonts w:ascii="Times New Roman" w:hAnsi="Times New Roman" w:cs="Times New Roman"/>
          <w:bCs/>
          <w:color w:val="00000A"/>
          <w:u w:val="single"/>
        </w:rPr>
        <w:t>punti 5</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Congruenza Anagrafe Regionale Edilizia Scolastica con SNAES: </w:t>
      </w:r>
      <w:r w:rsidRPr="00955E53">
        <w:rPr>
          <w:rFonts w:ascii="Times New Roman" w:hAnsi="Times New Roman" w:cs="Times New Roman"/>
          <w:bCs/>
          <w:color w:val="00000A"/>
          <w:u w:val="single"/>
        </w:rPr>
        <w:t>punti 2</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Progettazione partecipata: </w:t>
      </w:r>
      <w:r w:rsidRPr="00955E53">
        <w:rPr>
          <w:rFonts w:ascii="Times New Roman" w:hAnsi="Times New Roman" w:cs="Times New Roman"/>
          <w:bCs/>
          <w:color w:val="00000A"/>
          <w:u w:val="single"/>
        </w:rPr>
        <w:t>punti 1</w:t>
      </w:r>
      <w:r w:rsidRPr="00955E53">
        <w:rPr>
          <w:rFonts w:ascii="Times New Roman" w:hAnsi="Times New Roman" w:cs="Times New Roman"/>
          <w:bCs/>
          <w:color w:val="00000A"/>
        </w:rPr>
        <w:t>;</w:t>
      </w:r>
    </w:p>
    <w:p w:rsidR="00C8424C" w:rsidRPr="00955E53" w:rsidRDefault="00C8424C" w:rsidP="00C8424C">
      <w:pPr>
        <w:widowControl w:val="0"/>
        <w:numPr>
          <w:ilvl w:val="0"/>
          <w:numId w:val="3"/>
        </w:numPr>
        <w:tabs>
          <w:tab w:val="left" w:pos="1560"/>
        </w:tabs>
        <w:suppressAutoHyphens/>
        <w:spacing w:before="113" w:after="113" w:line="240" w:lineRule="auto"/>
        <w:ind w:left="1560" w:hanging="426"/>
        <w:contextualSpacing/>
        <w:jc w:val="both"/>
        <w:textAlignment w:val="baseline"/>
        <w:rPr>
          <w:rFonts w:ascii="Times New Roman" w:hAnsi="Times New Roman" w:cs="Times New Roman"/>
          <w:bCs/>
          <w:color w:val="00000A"/>
        </w:rPr>
      </w:pPr>
      <w:r w:rsidRPr="00955E53">
        <w:rPr>
          <w:rFonts w:ascii="Times New Roman" w:hAnsi="Times New Roman" w:cs="Times New Roman"/>
          <w:bCs/>
          <w:color w:val="00000A"/>
        </w:rPr>
        <w:t xml:space="preserve">Cofinanziamento (ad esclusione della lettera g) da parte dell’Ente richiedente: </w:t>
      </w:r>
      <w:r w:rsidRPr="00955E53">
        <w:rPr>
          <w:rFonts w:ascii="Times New Roman" w:hAnsi="Times New Roman" w:cs="Times New Roman"/>
          <w:bCs/>
          <w:color w:val="00000A"/>
          <w:u w:val="single"/>
        </w:rPr>
        <w:t>punti 2 ogni 10% di cofinanziamento sul totale del QTE</w:t>
      </w:r>
      <w:r w:rsidRPr="00955E53">
        <w:rPr>
          <w:rFonts w:ascii="Times New Roman" w:hAnsi="Times New Roman" w:cs="Times New Roman"/>
          <w:bCs/>
          <w:color w:val="00000A"/>
        </w:rPr>
        <w:t>. (0-10 2 punti, 11-20 4 punti, 21-30 6 punti, e così via).</w:t>
      </w:r>
    </w:p>
    <w:p w:rsidR="00C8424C" w:rsidRPr="00955E53" w:rsidRDefault="00C8424C" w:rsidP="00C8424C">
      <w:pPr>
        <w:widowControl w:val="0"/>
        <w:spacing w:before="120" w:after="0"/>
        <w:rPr>
          <w:rFonts w:ascii="Times New Roman" w:eastAsia="Calibri" w:hAnsi="Times New Roman" w:cs="Times New Roman"/>
          <w:bCs/>
          <w:color w:val="00000A"/>
        </w:rPr>
      </w:pP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beneficio dei Comuni risultanti da fusione e di forme associative di cui all’art. 2, comma 1, lettera b) della l.r. n. 46/2013, che dovessero presentare richiesta di accesso ai contributi di cui al presente atto, nel rispetto della legge regionale 09.12.2013, n. 46, si applicano, ai relativi punteggi, le maggiorazioni previste dalla DGR 07.07.2014 n. 809, articolo 6, allegato “A”.</w:t>
      </w:r>
    </w:p>
    <w:p w:rsidR="00C8424C" w:rsidRPr="00955E53" w:rsidRDefault="00C8424C" w:rsidP="00C8424C">
      <w:pPr>
        <w:widowControl w:val="0"/>
        <w:spacing w:after="0"/>
        <w:jc w:val="both"/>
        <w:rPr>
          <w:rFonts w:ascii="Times New Roman" w:eastAsia="Calibri" w:hAnsi="Times New Roman" w:cs="Times New Roman"/>
          <w:bCs/>
          <w:color w:val="00000A"/>
        </w:rPr>
      </w:pPr>
    </w:p>
    <w:p w:rsidR="00C8424C" w:rsidRPr="00955E53" w:rsidRDefault="00C8424C" w:rsidP="00C8424C">
      <w:pPr>
        <w:suppressAutoHyphens/>
        <w:spacing w:before="120" w:after="0"/>
        <w:jc w:val="both"/>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Terminato l’esame delle proposte pervenute, la Commissione procede a redigere apposita graduatoria, che, una volta approvata dai competenti organi regionali dalla Giunta Regionale, è trasmessa al Ministero dell’istruzione, dell’università e della ricerca per la relativa approvazione e per la definizione della programmazione unica nazionale in materia di edilizia scolastica 2018-2020</w:t>
      </w:r>
      <w:r w:rsidR="009C4BF9">
        <w:rPr>
          <w:rFonts w:ascii="Times New Roman" w:eastAsia="Calibri" w:hAnsi="Times New Roman" w:cs="Times New Roman"/>
          <w:color w:val="00000A"/>
        </w:rPr>
        <w:t xml:space="preserve"> – aggiornamento al 2019</w:t>
      </w:r>
      <w:r w:rsidRPr="00955E53">
        <w:rPr>
          <w:rFonts w:ascii="Times New Roman" w:eastAsia="Calibri" w:hAnsi="Times New Roman" w:cs="Times New Roman"/>
          <w:color w:val="00000A"/>
        </w:rPr>
        <w:t>.</w:t>
      </w:r>
    </w:p>
    <w:p w:rsidR="00C8424C" w:rsidRDefault="00C8424C" w:rsidP="00C8424C">
      <w:pPr>
        <w:suppressAutoHyphens/>
        <w:spacing w:before="120" w:after="0"/>
        <w:jc w:val="both"/>
        <w:textAlignment w:val="baseline"/>
        <w:rPr>
          <w:rFonts w:ascii="Times New Roman" w:eastAsia="Calibri" w:hAnsi="Times New Roman" w:cs="Times New Roman"/>
          <w:color w:val="00000A"/>
        </w:rPr>
      </w:pPr>
      <w:r w:rsidRPr="00955E53">
        <w:rPr>
          <w:rFonts w:ascii="Times New Roman" w:eastAsia="Calibri" w:hAnsi="Times New Roman" w:cs="Times New Roman"/>
          <w:color w:val="00000A"/>
        </w:rPr>
        <w:t>L’inserimento in graduatoria non dà diritto al finanziamento.</w:t>
      </w:r>
    </w:p>
    <w:p w:rsidR="00EE08A2" w:rsidRDefault="00EE08A2" w:rsidP="00C8424C">
      <w:pPr>
        <w:suppressAutoHyphens/>
        <w:spacing w:before="120" w:after="0"/>
        <w:jc w:val="both"/>
        <w:textAlignment w:val="baseline"/>
        <w:rPr>
          <w:rFonts w:ascii="Times New Roman" w:eastAsia="Calibri" w:hAnsi="Times New Roman" w:cs="Times New Roman"/>
          <w:color w:val="00000A"/>
        </w:rPr>
      </w:pPr>
    </w:p>
    <w:p w:rsidR="00FB17F4" w:rsidRPr="00955E53" w:rsidRDefault="00FB17F4" w:rsidP="00C8424C">
      <w:pPr>
        <w:suppressAutoHyphens/>
        <w:spacing w:before="120" w:after="0"/>
        <w:jc w:val="both"/>
        <w:textAlignment w:val="baseline"/>
        <w:rPr>
          <w:rFonts w:ascii="Times New Roman" w:eastAsia="Calibri" w:hAnsi="Times New Roman" w:cs="Times New Roman"/>
          <w:color w:val="00000A"/>
        </w:rPr>
      </w:pPr>
    </w:p>
    <w:p w:rsidR="00C8424C" w:rsidRPr="00955E53" w:rsidRDefault="00C8424C" w:rsidP="00C8424C">
      <w:pPr>
        <w:spacing w:after="0"/>
        <w:jc w:val="both"/>
        <w:rPr>
          <w:rFonts w:ascii="Times New Roman" w:hAnsi="Times New Roman" w:cs="Times New Roman"/>
          <w:color w:val="000000"/>
        </w:rPr>
      </w:pPr>
      <w:r w:rsidRPr="00955E53">
        <w:rPr>
          <w:rFonts w:ascii="Times New Roman" w:hAnsi="Times New Roman" w:cs="Times New Roman"/>
          <w:b/>
          <w:bCs/>
          <w:smallCaps/>
          <w:color w:val="C00000"/>
          <w:u w:val="single"/>
        </w:rPr>
        <w:t>Art</w:t>
      </w:r>
      <w:r w:rsidRPr="004F2946">
        <w:rPr>
          <w:rFonts w:ascii="Times New Roman" w:hAnsi="Times New Roman" w:cs="Times New Roman"/>
          <w:b/>
          <w:bCs/>
          <w:smallCaps/>
          <w:color w:val="C00000"/>
          <w:u w:val="single"/>
        </w:rPr>
        <w:t xml:space="preserve">. </w:t>
      </w:r>
      <w:r w:rsidR="004F2946" w:rsidRPr="004F2946">
        <w:rPr>
          <w:rFonts w:ascii="Times New Roman" w:hAnsi="Times New Roman" w:cs="Times New Roman"/>
          <w:b/>
          <w:bCs/>
          <w:smallCaps/>
          <w:color w:val="C00000"/>
          <w:u w:val="single"/>
        </w:rPr>
        <w:t>8</w:t>
      </w:r>
      <w:r w:rsidRPr="004F2946">
        <w:rPr>
          <w:rFonts w:ascii="Times New Roman" w:hAnsi="Times New Roman" w:cs="Times New Roman"/>
          <w:b/>
          <w:bCs/>
          <w:smallCaps/>
          <w:color w:val="C00000"/>
          <w:u w:val="single"/>
        </w:rPr>
        <w:t xml:space="preserve"> – Graduatoria</w:t>
      </w:r>
      <w:r w:rsidRPr="00955E53">
        <w:rPr>
          <w:rFonts w:ascii="Times New Roman" w:hAnsi="Times New Roman" w:cs="Times New Roman"/>
          <w:b/>
          <w:bCs/>
          <w:smallCaps/>
          <w:color w:val="C00000"/>
          <w:u w:val="single"/>
        </w:rPr>
        <w:t>, aggiornamenti  alla graduatoria, piani annuali, Concessione dei finanziamenti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 graduatoria è utilizzata dallo Stato o dalla Regione per la concessione di finanziamenti relativi all’edilizia scolastica.</w:t>
      </w:r>
    </w:p>
    <w:p w:rsidR="00C8424C" w:rsidRPr="00955E53" w:rsidRDefault="00C8424C" w:rsidP="00C8424C">
      <w:pPr>
        <w:widowControl w:val="0"/>
        <w:spacing w:before="120" w:after="0"/>
        <w:jc w:val="both"/>
        <w:rPr>
          <w:rFonts w:ascii="Times New Roman" w:eastAsia="Calibri" w:hAnsi="Times New Roman" w:cs="Times New Roman"/>
          <w:color w:val="00000A"/>
        </w:rPr>
      </w:pPr>
      <w:r w:rsidRPr="00955E53">
        <w:rPr>
          <w:rFonts w:ascii="Times New Roman" w:eastAsia="Calibri" w:hAnsi="Times New Roman" w:cs="Times New Roman"/>
          <w:bCs/>
          <w:color w:val="00000A"/>
        </w:rPr>
        <w:lastRenderedPageBreak/>
        <w:t xml:space="preserve">La graduatoria relativa alla programmazione 2018-2020 </w:t>
      </w:r>
      <w:r w:rsidR="00631418">
        <w:rPr>
          <w:rFonts w:ascii="Times New Roman" w:eastAsia="Calibri" w:hAnsi="Times New Roman" w:cs="Times New Roman"/>
          <w:bCs/>
          <w:color w:val="00000A"/>
        </w:rPr>
        <w:t xml:space="preserve">aggiornata al 2019 </w:t>
      </w:r>
      <w:r w:rsidRPr="00955E53">
        <w:rPr>
          <w:rFonts w:ascii="Times New Roman" w:eastAsia="Calibri" w:hAnsi="Times New Roman" w:cs="Times New Roman"/>
          <w:bCs/>
          <w:color w:val="00000A"/>
        </w:rPr>
        <w:t xml:space="preserve">sarà soggetta ad </w:t>
      </w:r>
      <w:r w:rsidR="00783846">
        <w:rPr>
          <w:rFonts w:ascii="Times New Roman" w:eastAsia="Calibri" w:hAnsi="Times New Roman" w:cs="Times New Roman"/>
          <w:bCs/>
          <w:color w:val="00000A"/>
        </w:rPr>
        <w:t xml:space="preserve">ulteriore </w:t>
      </w:r>
      <w:r w:rsidRPr="00955E53">
        <w:rPr>
          <w:rFonts w:ascii="Times New Roman" w:eastAsia="Calibri" w:hAnsi="Times New Roman" w:cs="Times New Roman"/>
          <w:bCs/>
          <w:color w:val="00000A"/>
        </w:rPr>
        <w:t>aggiornament</w:t>
      </w:r>
      <w:r w:rsidR="00783846">
        <w:rPr>
          <w:rFonts w:ascii="Times New Roman" w:eastAsia="Calibri" w:hAnsi="Times New Roman" w:cs="Times New Roman"/>
          <w:bCs/>
          <w:color w:val="00000A"/>
        </w:rPr>
        <w:t>o</w:t>
      </w:r>
      <w:r w:rsidR="00631418">
        <w:rPr>
          <w:rFonts w:ascii="Times New Roman" w:eastAsia="Calibri" w:hAnsi="Times New Roman" w:cs="Times New Roman"/>
          <w:bCs/>
          <w:color w:val="00000A"/>
        </w:rPr>
        <w:t xml:space="preserve"> nel 2020. In</w:t>
      </w:r>
      <w:r w:rsidRPr="00955E53">
        <w:rPr>
          <w:rFonts w:ascii="Times New Roman" w:eastAsia="Calibri" w:hAnsi="Times New Roman" w:cs="Times New Roman"/>
          <w:bCs/>
          <w:color w:val="00000A"/>
        </w:rPr>
        <w:t xml:space="preserve"> sede</w:t>
      </w:r>
      <w:r w:rsidR="00631418">
        <w:rPr>
          <w:rFonts w:ascii="Times New Roman" w:eastAsia="Calibri" w:hAnsi="Times New Roman" w:cs="Times New Roman"/>
          <w:bCs/>
          <w:color w:val="00000A"/>
        </w:rPr>
        <w:t xml:space="preserve"> di aggiornamento</w:t>
      </w:r>
      <w:r w:rsidRPr="00955E53">
        <w:rPr>
          <w:rFonts w:ascii="Times New Roman" w:eastAsia="Calibri" w:hAnsi="Times New Roman" w:cs="Times New Roman"/>
          <w:bCs/>
          <w:color w:val="00000A"/>
        </w:rPr>
        <w:t xml:space="preserve"> si procederà alla revisione del punteggio, </w:t>
      </w:r>
      <w:r w:rsidRPr="007001AB">
        <w:rPr>
          <w:rFonts w:ascii="Times New Roman" w:eastAsia="Calibri" w:hAnsi="Times New Roman" w:cs="Times New Roman"/>
          <w:bCs/>
          <w:color w:val="00000A"/>
          <w:u w:val="single"/>
        </w:rPr>
        <w:t>sulla base</w:t>
      </w:r>
      <w:r w:rsidRPr="007001AB">
        <w:rPr>
          <w:rFonts w:ascii="Times New Roman" w:eastAsia="Calibri" w:hAnsi="Times New Roman" w:cs="Times New Roman"/>
          <w:color w:val="00000A"/>
          <w:u w:val="single"/>
        </w:rPr>
        <w:t xml:space="preserve"> dell’incremento del livello progettuale e dell’esito della verifica di vulnerabilità</w:t>
      </w:r>
      <w:r w:rsidRPr="00955E53">
        <w:rPr>
          <w:rFonts w:ascii="Times New Roman" w:eastAsia="Calibri" w:hAnsi="Times New Roman" w:cs="Times New Roman"/>
          <w:color w:val="00000A"/>
        </w:rPr>
        <w:t xml:space="preserve">, secondo i criteri di cui all’articolo </w:t>
      </w:r>
      <w:r w:rsidR="006F7B63">
        <w:rPr>
          <w:rFonts w:ascii="Times New Roman" w:eastAsia="Calibri" w:hAnsi="Times New Roman" w:cs="Times New Roman"/>
          <w:color w:val="00000A"/>
        </w:rPr>
        <w:t>7</w:t>
      </w:r>
      <w:r w:rsidRPr="00955E53">
        <w:rPr>
          <w:rFonts w:ascii="Times New Roman" w:eastAsia="Calibri" w:hAnsi="Times New Roman" w:cs="Times New Roman"/>
          <w:color w:val="00000A"/>
        </w:rPr>
        <w:t xml:space="preserve"> e sulla base della nuova documentazione prodotta dall’Ente. (Nel caso di passaggio da studio di fattibilità a definitivo sarà possibile prendere in considerazione solo variazioni di costo legato alla struttura portante dell’edificio in conseguenza della redazione dei calcoli strutturali).</w:t>
      </w:r>
    </w:p>
    <w:p w:rsidR="00C8424C" w:rsidRPr="00955E53" w:rsidRDefault="00C8424C" w:rsidP="00C8424C">
      <w:pPr>
        <w:pStyle w:val="Standard"/>
        <w:widowControl w:val="0"/>
        <w:spacing w:before="120" w:after="0" w:line="240" w:lineRule="auto"/>
        <w:jc w:val="both"/>
        <w:rPr>
          <w:rFonts w:ascii="Times New Roman" w:hAnsi="Times New Roman" w:cs="Times New Roman"/>
          <w:bCs/>
        </w:rPr>
      </w:pPr>
      <w:r w:rsidRPr="00955E53">
        <w:rPr>
          <w:rFonts w:ascii="Times New Roman" w:hAnsi="Times New Roman" w:cs="Times New Roman"/>
          <w:bCs/>
        </w:rPr>
        <w:t xml:space="preserve">In sede di aggiornamento </w:t>
      </w:r>
      <w:r w:rsidR="00872044">
        <w:rPr>
          <w:rFonts w:ascii="Times New Roman" w:hAnsi="Times New Roman" w:cs="Times New Roman"/>
          <w:bCs/>
        </w:rPr>
        <w:t xml:space="preserve">2019 e </w:t>
      </w:r>
      <w:r w:rsidR="006F7B63">
        <w:rPr>
          <w:rFonts w:ascii="Times New Roman" w:hAnsi="Times New Roman" w:cs="Times New Roman"/>
          <w:bCs/>
        </w:rPr>
        <w:t xml:space="preserve">2020 </w:t>
      </w:r>
      <w:r w:rsidRPr="00955E53">
        <w:rPr>
          <w:rFonts w:ascii="Times New Roman" w:hAnsi="Times New Roman" w:cs="Times New Roman"/>
          <w:bCs/>
        </w:rPr>
        <w:t>non è ammessa la presentazione di proposte progettuali per ulteriori edifici.</w:t>
      </w:r>
      <w:r w:rsidR="0036239A">
        <w:rPr>
          <w:rFonts w:ascii="Times New Roman" w:hAnsi="Times New Roman" w:cs="Times New Roman"/>
          <w:bCs/>
        </w:rPr>
        <w:t>+</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Ciascun Piano annuale sarà costruito sulla base della graduatoria unica regionale estraendo, in relazione ad ogni territorio provinciale, gli interventi nei limiti del finanziamento annualmente assegnabile al territorio provinciale di riferimento per i Comuni o loro Unioni. Per le Amministrazioni provinciali si procederà nello scorrimento della graduatoria indipendente dal riferimento territoriale.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parità di punteggio fra i progetti, hanno precedenza di finanziamento le proposte relative alla tipologia d’intervento prioritaria, come individuata dal Decreto Interministeriale n. 47/2018.</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Il finanziamento, nei limiti della somma annuale assegnata alla Regione Marche, verrà concesso a progetti di livello esecutivo o definitivo, esclusivamente per proposte di interventi per i quali sia presente la verifica di vulnerabilità sismica (se necessaria) e, nel caso di costruzione di un nuovo edificio, per interventi dove l’edificazione è prevista su area di proprietà dell’Ente locale beneficiario.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Verrà ammesso a finanziamento un solo progetto per Ente locale</w:t>
      </w:r>
      <w:r w:rsidRPr="00955E53">
        <w:rPr>
          <w:rFonts w:ascii="Times New Roman" w:eastAsia="Calibri" w:hAnsi="Times New Roman" w:cs="Times New Roman"/>
          <w:b/>
          <w:bCs/>
          <w:color w:val="00000A"/>
        </w:rPr>
        <w:t xml:space="preserve"> </w:t>
      </w:r>
      <w:r w:rsidRPr="00955E53">
        <w:rPr>
          <w:rFonts w:ascii="Times New Roman" w:eastAsia="Calibri" w:hAnsi="Times New Roman" w:cs="Times New Roman"/>
          <w:bCs/>
          <w:color w:val="00000A"/>
        </w:rPr>
        <w:t>richiedente per annualità.</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Per gli interventi previsti all’art. 3 comma a) e comma d) del DI 3 gennaio 2018, n. 47 il tetto massimo riconoscibile, con riferimento all’importo dei lavori come da Computo Metrico Estimativo, è pari a € 1.500,00 al mq. Vengono presi in considerazione i mq stabiliti dai parametri indicati dal DM 18/12/1975. Rimane a carico del soggetto proponente l’eventuale maggior costo di realizzazione.</w:t>
      </w:r>
    </w:p>
    <w:p w:rsidR="00C8424C" w:rsidRPr="00955E53" w:rsidRDefault="00C8424C" w:rsidP="00C8424C">
      <w:pPr>
        <w:widowControl w:val="0"/>
        <w:spacing w:before="120" w:after="0"/>
        <w:jc w:val="both"/>
        <w:rPr>
          <w:rFonts w:ascii="Times New Roman" w:eastAsia="Calibri" w:hAnsi="Times New Roman" w:cs="Times New Roman"/>
          <w:b/>
          <w:color w:val="00000A"/>
        </w:rPr>
      </w:pPr>
      <w:r w:rsidRPr="00955E53">
        <w:rPr>
          <w:rFonts w:ascii="Times New Roman" w:eastAsia="Calibri" w:hAnsi="Times New Roman" w:cs="Times New Roman"/>
          <w:b/>
          <w:color w:val="00000A"/>
        </w:rPr>
        <w:t>Per le Amministrazioni Provinciali</w:t>
      </w:r>
    </w:p>
    <w:p w:rsidR="00C8424C" w:rsidRPr="00955E53" w:rsidRDefault="00C8424C" w:rsidP="00C8424C">
      <w:pPr>
        <w:tabs>
          <w:tab w:val="left" w:pos="284"/>
        </w:tabs>
        <w:spacing w:before="120"/>
        <w:jc w:val="both"/>
        <w:rPr>
          <w:rFonts w:ascii="Times New Roman" w:eastAsia="Calibri" w:hAnsi="Times New Roman" w:cs="Times New Roman"/>
          <w:color w:val="00000A"/>
        </w:rPr>
      </w:pPr>
      <w:r w:rsidRPr="00955E53">
        <w:rPr>
          <w:rFonts w:ascii="Times New Roman" w:eastAsia="Calibri" w:hAnsi="Times New Roman" w:cs="Times New Roman"/>
          <w:color w:val="00000A"/>
        </w:rPr>
        <w:t>Per le Provincie la graduatoria è unica per il triennio. Qualora le somme disponibili superino il totale dei progetti ammessi in graduatoria le somme residue andranno aggiunte alle disponibilità dei Comuni o loro Unioni con ripa</w:t>
      </w:r>
      <w:r w:rsidR="0036239A">
        <w:rPr>
          <w:rFonts w:ascii="Times New Roman" w:eastAsia="Calibri" w:hAnsi="Times New Roman" w:cs="Times New Roman"/>
          <w:color w:val="00000A"/>
        </w:rPr>
        <w:t>rto di cui al successivo art. 9</w:t>
      </w:r>
      <w:r w:rsidRPr="00955E53">
        <w:rPr>
          <w:rFonts w:ascii="Times New Roman" w:eastAsia="Calibri" w:hAnsi="Times New Roman" w:cs="Times New Roman"/>
          <w:color w:val="00000A"/>
        </w:rPr>
        <w:t>.</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color w:val="00000A"/>
        </w:rPr>
        <w:t xml:space="preserve">Per la concessione del finanziamento si procederà sulla base della graduatoria. Nel caso si verificasse un “resto”, </w:t>
      </w:r>
      <w:r w:rsidRPr="00955E53">
        <w:rPr>
          <w:rFonts w:ascii="Times New Roman" w:eastAsia="Calibri" w:hAnsi="Times New Roman" w:cs="Times New Roman"/>
          <w:bCs/>
          <w:color w:val="00000A"/>
        </w:rPr>
        <w:t>eventualmente sommato con le economie comunque resesi disponibili, si procederà nello scorrimento della graduatoria verificando la disponibilità dell’ente richiedente al cofinanziamento per la eventuale quota mancante.</w:t>
      </w:r>
    </w:p>
    <w:p w:rsidR="00C8424C" w:rsidRPr="00955E53" w:rsidRDefault="00C8424C" w:rsidP="00C8424C">
      <w:pPr>
        <w:widowControl w:val="0"/>
        <w:spacing w:before="120" w:after="0"/>
        <w:rPr>
          <w:rFonts w:ascii="Times New Roman" w:eastAsia="Calibri" w:hAnsi="Times New Roman" w:cs="Times New Roman"/>
          <w:b/>
          <w:bCs/>
          <w:color w:val="00000A"/>
        </w:rPr>
      </w:pPr>
      <w:r w:rsidRPr="00955E53">
        <w:rPr>
          <w:rFonts w:ascii="Times New Roman" w:eastAsia="Calibri" w:hAnsi="Times New Roman" w:cs="Times New Roman"/>
          <w:b/>
          <w:bCs/>
          <w:color w:val="00000A"/>
        </w:rPr>
        <w:t>Per i Comuni o loro Unioni</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Al fine di assicurare il completo utilizzo delle risorse disponibili, con riferimento al riparto per territorio provinciale, per le somme che residuano (i cd “resti” in quanto insufficienti a coprire per intero il finanziamento di un intervento richiesto da uno degli enti presenti nel territorio provinciale di riferimento) eventualmente sommate con le economie comunque resesi disponibili si procederà nello scorrimento della graduatoria verificando la disponibilità dell’ente richiedente al cofinanziamento per la eventuale quota mancante.</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Nel caso dovessero ancora essere presenti “resti” si procederà allo scorrimento della graduatoria indipendentemente dal riferimento territoriale, sempre verificando l’eventuale disponibilità al cofinanziamento.  </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Diversamente tali somme saranno aggiunte per competenza territoriale sino all’ultima annualità.</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lastRenderedPageBreak/>
        <w:t>All’ultima annualità si esauriranno tutte le risorse disponibili, in quanto non ancora concesse, attingendo indistintamente dalla graduatoria estraendo gli interventi dei Comuni o loro Unioni che si trovano in posizione utile. Nel caso risultassero ulteriori risorse potranno essere assegnate ad interventi provinciali qualora la graduatoria non fosse già stata esaurita.</w:t>
      </w:r>
    </w:p>
    <w:p w:rsidR="007001AB" w:rsidRDefault="00C8424C" w:rsidP="007001AB">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seguito delle procedure di gara, il ribasso e la conseguente quota di aliquota IVA risparmiata no</w:t>
      </w:r>
      <w:r w:rsidR="005D73B1">
        <w:rPr>
          <w:rFonts w:ascii="Times New Roman" w:eastAsia="Calibri" w:hAnsi="Times New Roman" w:cs="Times New Roman"/>
          <w:bCs/>
          <w:color w:val="00000A"/>
        </w:rPr>
        <w:t>n sono nella disponibilità degli Enti beneficiari del finanziamento</w:t>
      </w:r>
      <w:r w:rsidRPr="00955E53">
        <w:rPr>
          <w:rFonts w:ascii="Times New Roman" w:eastAsia="Calibri" w:hAnsi="Times New Roman" w:cs="Times New Roman"/>
          <w:bCs/>
          <w:color w:val="00000A"/>
        </w:rPr>
        <w:t>.</w:t>
      </w:r>
    </w:p>
    <w:p w:rsidR="00C8424C" w:rsidRPr="00955E53" w:rsidRDefault="00C8424C" w:rsidP="007001AB">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Nel caso in cui vengano definite </w:t>
      </w:r>
      <w:r w:rsidRPr="00955E53">
        <w:rPr>
          <w:rFonts w:ascii="Times New Roman" w:eastAsia="Calibri" w:hAnsi="Times New Roman" w:cs="Times New Roman"/>
          <w:color w:val="00000A"/>
        </w:rPr>
        <w:t>dallo Stato</w:t>
      </w:r>
      <w:r w:rsidRPr="00955E53">
        <w:rPr>
          <w:rFonts w:ascii="Times New Roman" w:eastAsia="Calibri" w:hAnsi="Times New Roman" w:cs="Times New Roman"/>
          <w:bCs/>
          <w:color w:val="00000A"/>
        </w:rPr>
        <w:t xml:space="preserve"> linee di finanziamento dedicate a specifiche finalità e/o tipologie di interventi, la Regione si riserva di attingere dalla graduatoria gli interventi che rispondono ai requisiti previsti dai programmi straordinari di finanziamento.</w:t>
      </w:r>
    </w:p>
    <w:p w:rsidR="00C8424C" w:rsidRPr="00955E53" w:rsidRDefault="00C8424C" w:rsidP="00C8424C">
      <w:pPr>
        <w:spacing w:after="0"/>
        <w:rPr>
          <w:rFonts w:ascii="Times New Roman" w:hAnsi="Times New Roman" w:cs="Times New Roman"/>
          <w:smallCaps/>
          <w:color w:val="C00000"/>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 xml:space="preserve">Art. </w:t>
      </w:r>
      <w:r w:rsidR="004F2946">
        <w:rPr>
          <w:rFonts w:ascii="Times New Roman" w:hAnsi="Times New Roman" w:cs="Times New Roman"/>
          <w:b/>
          <w:bCs/>
          <w:smallCaps/>
          <w:color w:val="C00000"/>
          <w:u w:val="single"/>
        </w:rPr>
        <w:t>9</w:t>
      </w:r>
      <w:r w:rsidRPr="00955E53">
        <w:rPr>
          <w:rFonts w:ascii="Times New Roman" w:hAnsi="Times New Roman" w:cs="Times New Roman"/>
          <w:b/>
          <w:bCs/>
          <w:smallCaps/>
          <w:color w:val="C00000"/>
          <w:u w:val="single"/>
        </w:rPr>
        <w:t xml:space="preserve"> – Dotazione finanziaria</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 seguito del rifinanziamento di cui alla Legge 28 dicembre 2015, n. 208, con legge 11 dicembre 2016, n. 232 sono state iscritte al capitolo 7106 dello Stato di previsione del MIUR ulteriori risorse pari ad € 1, 7 miliardi.</w:t>
      </w:r>
    </w:p>
    <w:p w:rsidR="00C8424C" w:rsidRPr="00955E53"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Per gli edifici da destinare all’istruzione di II° livello di proprietà delle Amministrazioni provinciali è riservata una quota pari al 30% della dotazione complessiva riservata alla Regione Marche.</w:t>
      </w:r>
    </w:p>
    <w:p w:rsidR="007001AB" w:rsidRDefault="00C8424C" w:rsidP="00C8424C">
      <w:pPr>
        <w:tabs>
          <w:tab w:val="left" w:pos="284"/>
        </w:tabs>
        <w:spacing w:before="12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Ai fini del riparto tra i territori provinciali del restante 70%, sono confermati i criteri adottati con D.G.R. n. 1273/2010, come modificati dalla n. 1021/2011 e ripresi dalla D.G.R n. 991/2013, dalla D.G.R. n. 1312/2013 e dalla DGR n. 124/2015</w:t>
      </w:r>
      <w:r w:rsidR="007001AB">
        <w:rPr>
          <w:rFonts w:ascii="Times New Roman" w:eastAsia="Calibri" w:hAnsi="Times New Roman" w:cs="Times New Roman"/>
          <w:bCs/>
          <w:color w:val="00000A"/>
        </w:rPr>
        <w:t>.</w:t>
      </w:r>
    </w:p>
    <w:p w:rsidR="007001AB" w:rsidRDefault="007001AB" w:rsidP="007001AB">
      <w:pPr>
        <w:tabs>
          <w:tab w:val="num" w:pos="426"/>
        </w:tabs>
        <w:spacing w:before="120" w:after="120"/>
        <w:jc w:val="both"/>
        <w:rPr>
          <w:rFonts w:ascii="Times New Roman" w:hAnsi="Times New Roman" w:cs="Times New Roman"/>
          <w:iCs/>
        </w:rPr>
      </w:pPr>
      <w:r w:rsidRPr="007001AB">
        <w:rPr>
          <w:rFonts w:ascii="Times New Roman" w:hAnsi="Times New Roman" w:cs="Times New Roman"/>
          <w:iCs/>
        </w:rPr>
        <w:t xml:space="preserve">Di seguito il riepilogo della situazione finanziaria a seguito </w:t>
      </w:r>
      <w:r w:rsidR="00C81F72">
        <w:rPr>
          <w:rFonts w:ascii="Times New Roman" w:hAnsi="Times New Roman" w:cs="Times New Roman"/>
          <w:iCs/>
        </w:rPr>
        <w:t xml:space="preserve">del riparto </w:t>
      </w:r>
      <w:r w:rsidR="00F338CB">
        <w:rPr>
          <w:rFonts w:ascii="Times New Roman" w:hAnsi="Times New Roman" w:cs="Times New Roman"/>
          <w:iCs/>
        </w:rPr>
        <w:t xml:space="preserve">delle somme messe a disposizione dalla Stato con D. MIUR n. 615/2018 (€ </w:t>
      </w:r>
      <w:r w:rsidR="00F338CB" w:rsidRPr="00F338CB">
        <w:rPr>
          <w:rFonts w:ascii="Times New Roman" w:hAnsi="Times New Roman" w:cs="Times New Roman"/>
          <w:iCs/>
        </w:rPr>
        <w:t>48.446.984,81</w:t>
      </w:r>
      <w:r w:rsidR="00F338CB">
        <w:rPr>
          <w:rFonts w:ascii="Times New Roman" w:hAnsi="Times New Roman" w:cs="Times New Roman"/>
          <w:iCs/>
        </w:rPr>
        <w:t xml:space="preserve">) </w:t>
      </w:r>
      <w:r w:rsidR="00C81F72">
        <w:rPr>
          <w:rFonts w:ascii="Times New Roman" w:hAnsi="Times New Roman" w:cs="Times New Roman"/>
          <w:iCs/>
        </w:rPr>
        <w:t xml:space="preserve">e della </w:t>
      </w:r>
      <w:r w:rsidRPr="007001AB">
        <w:rPr>
          <w:rFonts w:ascii="Times New Roman" w:hAnsi="Times New Roman" w:cs="Times New Roman"/>
          <w:iCs/>
        </w:rPr>
        <w:t>approvazione, da parte della Regione, del piano 2018</w:t>
      </w:r>
      <w:r w:rsidR="00F338CB">
        <w:rPr>
          <w:rFonts w:ascii="Times New Roman" w:hAnsi="Times New Roman" w:cs="Times New Roman"/>
          <w:iCs/>
        </w:rPr>
        <w:t xml:space="preserve"> con </w:t>
      </w:r>
      <w:r w:rsidR="00F338CB">
        <w:rPr>
          <w:rFonts w:ascii="Times New Roman" w:hAnsi="Times New Roman" w:cs="Times New Roman"/>
          <w:bCs/>
        </w:rPr>
        <w:t>DDPF n. 14/UPT/2018</w:t>
      </w:r>
      <w:r w:rsidRPr="007001AB">
        <w:rPr>
          <w:rFonts w:ascii="Times New Roman" w:hAnsi="Times New Roman" w:cs="Times New Roman"/>
          <w:iCs/>
        </w:rPr>
        <w:t>:</w:t>
      </w:r>
    </w:p>
    <w:p w:rsidR="00AB34F8" w:rsidRPr="007001AB" w:rsidRDefault="00AB34F8" w:rsidP="007001AB">
      <w:pPr>
        <w:tabs>
          <w:tab w:val="num" w:pos="426"/>
        </w:tabs>
        <w:spacing w:before="120" w:after="120"/>
        <w:jc w:val="both"/>
        <w:rPr>
          <w:rFonts w:ascii="Times New Roman" w:hAnsi="Times New Roman" w:cs="Times New Roman"/>
          <w:iCs/>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359"/>
        <w:gridCol w:w="2201"/>
        <w:gridCol w:w="2199"/>
      </w:tblGrid>
      <w:tr w:rsidR="007001AB" w:rsidRPr="007001AB" w:rsidTr="003E228B">
        <w:trPr>
          <w:jc w:val="center"/>
        </w:trPr>
        <w:tc>
          <w:tcPr>
            <w:tcW w:w="1532" w:type="pct"/>
            <w:tcBorders>
              <w:top w:val="single" w:sz="4" w:space="0" w:color="auto"/>
              <w:left w:val="single" w:sz="4" w:space="0" w:color="auto"/>
              <w:bottom w:val="single" w:sz="4" w:space="0" w:color="auto"/>
              <w:right w:val="single" w:sz="4" w:space="0" w:color="auto"/>
            </w:tcBorders>
            <w:vAlign w:val="center"/>
            <w:hideMark/>
          </w:tcPr>
          <w:p w:rsidR="007001AB" w:rsidRPr="007001AB" w:rsidRDefault="003E228B" w:rsidP="003E228B">
            <w:pPr>
              <w:rPr>
                <w:rFonts w:ascii="Times New Roman" w:hAnsi="Times New Roman" w:cs="Times New Roman"/>
              </w:rPr>
            </w:pPr>
            <w:r>
              <w:rPr>
                <w:rFonts w:ascii="Times New Roman" w:hAnsi="Times New Roman" w:cs="Times New Roman"/>
                <w:bCs/>
              </w:rPr>
              <w:t>Enti Beneficiari</w:t>
            </w:r>
          </w:p>
        </w:tc>
        <w:tc>
          <w:tcPr>
            <w:tcW w:w="1210"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center"/>
              <w:rPr>
                <w:rFonts w:ascii="Times New Roman" w:hAnsi="Times New Roman" w:cs="Times New Roman"/>
                <w:bCs/>
              </w:rPr>
            </w:pPr>
            <w:r w:rsidRPr="007001AB">
              <w:rPr>
                <w:rFonts w:ascii="Times New Roman" w:hAnsi="Times New Roman" w:cs="Times New Roman"/>
                <w:bCs/>
              </w:rPr>
              <w:t>% di riparto</w:t>
            </w:r>
          </w:p>
        </w:tc>
        <w:tc>
          <w:tcPr>
            <w:tcW w:w="1129"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center"/>
              <w:rPr>
                <w:rFonts w:ascii="Times New Roman" w:hAnsi="Times New Roman" w:cs="Times New Roman"/>
                <w:bCs/>
              </w:rPr>
            </w:pPr>
            <w:r w:rsidRPr="007001AB">
              <w:rPr>
                <w:rFonts w:ascii="Times New Roman" w:hAnsi="Times New Roman" w:cs="Times New Roman"/>
                <w:bCs/>
              </w:rPr>
              <w:t>Riparto</w:t>
            </w:r>
          </w:p>
        </w:tc>
        <w:tc>
          <w:tcPr>
            <w:tcW w:w="1128"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F338CB">
            <w:pPr>
              <w:jc w:val="center"/>
              <w:rPr>
                <w:rFonts w:ascii="Times New Roman" w:hAnsi="Times New Roman" w:cs="Times New Roman"/>
                <w:bCs/>
              </w:rPr>
            </w:pPr>
            <w:r w:rsidRPr="007001AB">
              <w:rPr>
                <w:rFonts w:ascii="Times New Roman" w:hAnsi="Times New Roman" w:cs="Times New Roman"/>
                <w:bCs/>
              </w:rPr>
              <w:t xml:space="preserve">Piano 2018 </w:t>
            </w:r>
          </w:p>
        </w:tc>
      </w:tr>
      <w:tr w:rsidR="007001AB" w:rsidRPr="007001AB" w:rsidTr="003E228B">
        <w:trPr>
          <w:jc w:val="center"/>
        </w:trPr>
        <w:tc>
          <w:tcPr>
            <w:tcW w:w="1532"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rPr>
                <w:rFonts w:ascii="Times New Roman" w:hAnsi="Times New Roman" w:cs="Times New Roman"/>
                <w:bCs/>
              </w:rPr>
            </w:pPr>
            <w:r w:rsidRPr="007001AB">
              <w:rPr>
                <w:rFonts w:ascii="Times New Roman" w:hAnsi="Times New Roman" w:cs="Times New Roman"/>
                <w:bCs/>
              </w:rPr>
              <w:t>Amministrazioni prov.li</w:t>
            </w:r>
          </w:p>
        </w:tc>
        <w:tc>
          <w:tcPr>
            <w:tcW w:w="1210"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center"/>
              <w:rPr>
                <w:rFonts w:ascii="Times New Roman" w:hAnsi="Times New Roman" w:cs="Times New Roman"/>
              </w:rPr>
            </w:pPr>
            <w:r w:rsidRPr="007001AB">
              <w:rPr>
                <w:rFonts w:ascii="Times New Roman" w:hAnsi="Times New Roman" w:cs="Times New Roman"/>
              </w:rPr>
              <w:t>30%</w:t>
            </w:r>
          </w:p>
        </w:tc>
        <w:tc>
          <w:tcPr>
            <w:tcW w:w="1129"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 xml:space="preserve"> 14.534.095,44 </w:t>
            </w:r>
          </w:p>
        </w:tc>
        <w:tc>
          <w:tcPr>
            <w:tcW w:w="1128"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6.851.782,61</w:t>
            </w:r>
          </w:p>
        </w:tc>
      </w:tr>
      <w:tr w:rsidR="007001AB" w:rsidRPr="007001AB" w:rsidTr="003E228B">
        <w:trPr>
          <w:jc w:val="center"/>
        </w:trPr>
        <w:tc>
          <w:tcPr>
            <w:tcW w:w="1532" w:type="pct"/>
            <w:tcBorders>
              <w:top w:val="single" w:sz="4" w:space="0" w:color="auto"/>
              <w:left w:val="single" w:sz="4" w:space="0" w:color="auto"/>
              <w:bottom w:val="single" w:sz="4" w:space="0" w:color="auto"/>
              <w:right w:val="single" w:sz="4" w:space="0" w:color="auto"/>
            </w:tcBorders>
            <w:vAlign w:val="center"/>
            <w:hideMark/>
          </w:tcPr>
          <w:p w:rsidR="007001AB" w:rsidRPr="007001AB" w:rsidRDefault="003E228B" w:rsidP="003E228B">
            <w:pPr>
              <w:rPr>
                <w:rFonts w:ascii="Times New Roman" w:hAnsi="Times New Roman" w:cs="Times New Roman"/>
                <w:bCs/>
              </w:rPr>
            </w:pPr>
            <w:r>
              <w:rPr>
                <w:rFonts w:ascii="Times New Roman" w:hAnsi="Times New Roman" w:cs="Times New Roman"/>
                <w:bCs/>
              </w:rPr>
              <w:t xml:space="preserve">Comuni/Unioni </w:t>
            </w:r>
            <w:r w:rsidR="007001AB" w:rsidRPr="007001AB">
              <w:rPr>
                <w:rFonts w:ascii="Times New Roman" w:hAnsi="Times New Roman" w:cs="Times New Roman"/>
                <w:bCs/>
              </w:rPr>
              <w:t xml:space="preserve">prov. di </w:t>
            </w:r>
            <w:r>
              <w:rPr>
                <w:rFonts w:ascii="Times New Roman" w:hAnsi="Times New Roman" w:cs="Times New Roman"/>
                <w:bCs/>
              </w:rPr>
              <w:t>AN</w:t>
            </w:r>
          </w:p>
        </w:tc>
        <w:tc>
          <w:tcPr>
            <w:tcW w:w="1210"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center"/>
              <w:rPr>
                <w:rFonts w:ascii="Times New Roman" w:hAnsi="Times New Roman" w:cs="Times New Roman"/>
              </w:rPr>
            </w:pPr>
            <w:r w:rsidRPr="007001AB">
              <w:rPr>
                <w:rFonts w:ascii="Times New Roman" w:hAnsi="Times New Roman" w:cs="Times New Roman"/>
              </w:rPr>
              <w:t>26,156 del 70%</w:t>
            </w:r>
          </w:p>
        </w:tc>
        <w:tc>
          <w:tcPr>
            <w:tcW w:w="1129"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 xml:space="preserve"> 8.870.255,34 </w:t>
            </w:r>
          </w:p>
        </w:tc>
        <w:tc>
          <w:tcPr>
            <w:tcW w:w="1128"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8.870.255,34</w:t>
            </w:r>
          </w:p>
        </w:tc>
      </w:tr>
      <w:tr w:rsidR="007001AB" w:rsidRPr="007001AB" w:rsidTr="003E228B">
        <w:trPr>
          <w:jc w:val="center"/>
        </w:trPr>
        <w:tc>
          <w:tcPr>
            <w:tcW w:w="1532" w:type="pct"/>
            <w:tcBorders>
              <w:top w:val="single" w:sz="4" w:space="0" w:color="auto"/>
              <w:left w:val="single" w:sz="4" w:space="0" w:color="auto"/>
              <w:bottom w:val="single" w:sz="4" w:space="0" w:color="auto"/>
              <w:right w:val="single" w:sz="4" w:space="0" w:color="auto"/>
            </w:tcBorders>
            <w:vAlign w:val="center"/>
            <w:hideMark/>
          </w:tcPr>
          <w:p w:rsidR="007001AB" w:rsidRPr="007001AB" w:rsidRDefault="003E228B" w:rsidP="003E228B">
            <w:pPr>
              <w:rPr>
                <w:rFonts w:ascii="Times New Roman" w:hAnsi="Times New Roman" w:cs="Times New Roman"/>
                <w:bCs/>
              </w:rPr>
            </w:pPr>
            <w:r>
              <w:rPr>
                <w:rFonts w:ascii="Times New Roman" w:hAnsi="Times New Roman" w:cs="Times New Roman"/>
                <w:bCs/>
              </w:rPr>
              <w:t>Comuni/Unioni</w:t>
            </w:r>
            <w:r w:rsidRPr="007001AB">
              <w:rPr>
                <w:rFonts w:ascii="Times New Roman" w:hAnsi="Times New Roman" w:cs="Times New Roman"/>
                <w:bCs/>
              </w:rPr>
              <w:t xml:space="preserve"> </w:t>
            </w:r>
            <w:r>
              <w:rPr>
                <w:rFonts w:ascii="Times New Roman" w:hAnsi="Times New Roman" w:cs="Times New Roman"/>
                <w:bCs/>
              </w:rPr>
              <w:t xml:space="preserve">prov. </w:t>
            </w:r>
            <w:r w:rsidR="007001AB" w:rsidRPr="007001AB">
              <w:rPr>
                <w:rFonts w:ascii="Times New Roman" w:hAnsi="Times New Roman" w:cs="Times New Roman"/>
                <w:bCs/>
              </w:rPr>
              <w:t>di A</w:t>
            </w:r>
            <w:r>
              <w:rPr>
                <w:rFonts w:ascii="Times New Roman" w:hAnsi="Times New Roman" w:cs="Times New Roman"/>
                <w:bCs/>
              </w:rPr>
              <w:t>P</w:t>
            </w:r>
          </w:p>
        </w:tc>
        <w:tc>
          <w:tcPr>
            <w:tcW w:w="1210"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center"/>
              <w:rPr>
                <w:rFonts w:ascii="Times New Roman" w:hAnsi="Times New Roman" w:cs="Times New Roman"/>
              </w:rPr>
            </w:pPr>
            <w:r w:rsidRPr="007001AB">
              <w:rPr>
                <w:rFonts w:ascii="Times New Roman" w:hAnsi="Times New Roman" w:cs="Times New Roman"/>
              </w:rPr>
              <w:t>15,408 del 70%</w:t>
            </w:r>
          </w:p>
        </w:tc>
        <w:tc>
          <w:tcPr>
            <w:tcW w:w="1129"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 xml:space="preserve"> 5.225.297,99 </w:t>
            </w:r>
          </w:p>
        </w:tc>
        <w:tc>
          <w:tcPr>
            <w:tcW w:w="1128"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2.102.111,69</w:t>
            </w:r>
          </w:p>
        </w:tc>
      </w:tr>
      <w:tr w:rsidR="007001AB" w:rsidRPr="007001AB" w:rsidTr="003E228B">
        <w:trPr>
          <w:jc w:val="center"/>
        </w:trPr>
        <w:tc>
          <w:tcPr>
            <w:tcW w:w="1532" w:type="pct"/>
            <w:tcBorders>
              <w:top w:val="single" w:sz="4" w:space="0" w:color="auto"/>
              <w:left w:val="single" w:sz="4" w:space="0" w:color="auto"/>
              <w:bottom w:val="single" w:sz="4" w:space="0" w:color="auto"/>
              <w:right w:val="single" w:sz="4" w:space="0" w:color="auto"/>
            </w:tcBorders>
            <w:vAlign w:val="center"/>
            <w:hideMark/>
          </w:tcPr>
          <w:p w:rsidR="007001AB" w:rsidRPr="007001AB" w:rsidRDefault="003E228B" w:rsidP="003E228B">
            <w:pPr>
              <w:rPr>
                <w:rFonts w:ascii="Times New Roman" w:hAnsi="Times New Roman" w:cs="Times New Roman"/>
                <w:bCs/>
              </w:rPr>
            </w:pPr>
            <w:r>
              <w:rPr>
                <w:rFonts w:ascii="Times New Roman" w:hAnsi="Times New Roman" w:cs="Times New Roman"/>
                <w:bCs/>
              </w:rPr>
              <w:t>Comuni/Unioni</w:t>
            </w:r>
            <w:r w:rsidR="007001AB" w:rsidRPr="007001AB">
              <w:rPr>
                <w:rFonts w:ascii="Times New Roman" w:hAnsi="Times New Roman" w:cs="Times New Roman"/>
                <w:bCs/>
              </w:rPr>
              <w:t xml:space="preserve"> prov. di F</w:t>
            </w:r>
            <w:r>
              <w:rPr>
                <w:rFonts w:ascii="Times New Roman" w:hAnsi="Times New Roman" w:cs="Times New Roman"/>
                <w:bCs/>
              </w:rPr>
              <w:t>M</w:t>
            </w:r>
          </w:p>
        </w:tc>
        <w:tc>
          <w:tcPr>
            <w:tcW w:w="1210"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center"/>
              <w:rPr>
                <w:rFonts w:ascii="Times New Roman" w:hAnsi="Times New Roman" w:cs="Times New Roman"/>
              </w:rPr>
            </w:pPr>
            <w:r w:rsidRPr="007001AB">
              <w:rPr>
                <w:rFonts w:ascii="Times New Roman" w:hAnsi="Times New Roman" w:cs="Times New Roman"/>
              </w:rPr>
              <w:t>12,772 del 70%</w:t>
            </w:r>
          </w:p>
        </w:tc>
        <w:tc>
          <w:tcPr>
            <w:tcW w:w="1129"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4.331.354,23</w:t>
            </w:r>
          </w:p>
        </w:tc>
        <w:tc>
          <w:tcPr>
            <w:tcW w:w="1128"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4.297.336,55</w:t>
            </w:r>
          </w:p>
        </w:tc>
      </w:tr>
      <w:tr w:rsidR="007001AB" w:rsidRPr="007001AB" w:rsidTr="003E228B">
        <w:trPr>
          <w:jc w:val="center"/>
        </w:trPr>
        <w:tc>
          <w:tcPr>
            <w:tcW w:w="1532" w:type="pct"/>
            <w:tcBorders>
              <w:top w:val="single" w:sz="4" w:space="0" w:color="auto"/>
              <w:left w:val="single" w:sz="4" w:space="0" w:color="auto"/>
              <w:bottom w:val="single" w:sz="4" w:space="0" w:color="auto"/>
              <w:right w:val="single" w:sz="4" w:space="0" w:color="auto"/>
            </w:tcBorders>
            <w:vAlign w:val="center"/>
            <w:hideMark/>
          </w:tcPr>
          <w:p w:rsidR="007001AB" w:rsidRPr="007001AB" w:rsidRDefault="003E228B" w:rsidP="003E228B">
            <w:pPr>
              <w:rPr>
                <w:rFonts w:ascii="Times New Roman" w:hAnsi="Times New Roman" w:cs="Times New Roman"/>
                <w:bCs/>
              </w:rPr>
            </w:pPr>
            <w:r>
              <w:rPr>
                <w:rFonts w:ascii="Times New Roman" w:hAnsi="Times New Roman" w:cs="Times New Roman"/>
                <w:bCs/>
              </w:rPr>
              <w:t>Comuni/Unioni</w:t>
            </w:r>
            <w:r w:rsidR="007001AB" w:rsidRPr="007001AB">
              <w:rPr>
                <w:rFonts w:ascii="Times New Roman" w:hAnsi="Times New Roman" w:cs="Times New Roman"/>
                <w:bCs/>
              </w:rPr>
              <w:t xml:space="preserve"> prov. di </w:t>
            </w:r>
            <w:r>
              <w:rPr>
                <w:rFonts w:ascii="Times New Roman" w:hAnsi="Times New Roman" w:cs="Times New Roman"/>
                <w:bCs/>
              </w:rPr>
              <w:t>MC</w:t>
            </w:r>
          </w:p>
        </w:tc>
        <w:tc>
          <w:tcPr>
            <w:tcW w:w="1210"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center"/>
              <w:rPr>
                <w:rFonts w:ascii="Times New Roman" w:hAnsi="Times New Roman" w:cs="Times New Roman"/>
              </w:rPr>
            </w:pPr>
            <w:r w:rsidRPr="007001AB">
              <w:rPr>
                <w:rFonts w:ascii="Times New Roman" w:hAnsi="Times New Roman" w:cs="Times New Roman"/>
              </w:rPr>
              <w:t>20,832 del 70%</w:t>
            </w:r>
          </w:p>
        </w:tc>
        <w:tc>
          <w:tcPr>
            <w:tcW w:w="1129"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7.064.733,11</w:t>
            </w:r>
          </w:p>
        </w:tc>
        <w:tc>
          <w:tcPr>
            <w:tcW w:w="1128"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7.064.733,11</w:t>
            </w:r>
          </w:p>
        </w:tc>
      </w:tr>
      <w:tr w:rsidR="007001AB" w:rsidRPr="007001AB" w:rsidTr="003E228B">
        <w:trPr>
          <w:jc w:val="center"/>
        </w:trPr>
        <w:tc>
          <w:tcPr>
            <w:tcW w:w="1532" w:type="pct"/>
            <w:tcBorders>
              <w:top w:val="single" w:sz="4" w:space="0" w:color="auto"/>
              <w:left w:val="single" w:sz="4" w:space="0" w:color="auto"/>
              <w:bottom w:val="single" w:sz="4" w:space="0" w:color="auto"/>
              <w:right w:val="single" w:sz="4" w:space="0" w:color="auto"/>
            </w:tcBorders>
            <w:vAlign w:val="center"/>
            <w:hideMark/>
          </w:tcPr>
          <w:p w:rsidR="007001AB" w:rsidRPr="007001AB" w:rsidRDefault="003E228B" w:rsidP="003E228B">
            <w:pPr>
              <w:rPr>
                <w:rFonts w:ascii="Times New Roman" w:hAnsi="Times New Roman" w:cs="Times New Roman"/>
                <w:bCs/>
              </w:rPr>
            </w:pPr>
            <w:r>
              <w:rPr>
                <w:rFonts w:ascii="Times New Roman" w:hAnsi="Times New Roman" w:cs="Times New Roman"/>
                <w:bCs/>
              </w:rPr>
              <w:t>Comuni/Unioni</w:t>
            </w:r>
            <w:r w:rsidRPr="007001AB">
              <w:rPr>
                <w:rFonts w:ascii="Times New Roman" w:hAnsi="Times New Roman" w:cs="Times New Roman"/>
                <w:bCs/>
              </w:rPr>
              <w:t xml:space="preserve"> </w:t>
            </w:r>
            <w:r w:rsidR="007001AB" w:rsidRPr="007001AB">
              <w:rPr>
                <w:rFonts w:ascii="Times New Roman" w:hAnsi="Times New Roman" w:cs="Times New Roman"/>
                <w:bCs/>
              </w:rPr>
              <w:t xml:space="preserve">prov. di </w:t>
            </w:r>
            <w:r>
              <w:rPr>
                <w:rFonts w:ascii="Times New Roman" w:hAnsi="Times New Roman" w:cs="Times New Roman"/>
                <w:bCs/>
              </w:rPr>
              <w:t>PU</w:t>
            </w:r>
          </w:p>
        </w:tc>
        <w:tc>
          <w:tcPr>
            <w:tcW w:w="1210"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center"/>
              <w:rPr>
                <w:rFonts w:ascii="Times New Roman" w:hAnsi="Times New Roman" w:cs="Times New Roman"/>
              </w:rPr>
            </w:pPr>
            <w:r w:rsidRPr="007001AB">
              <w:rPr>
                <w:rFonts w:ascii="Times New Roman" w:hAnsi="Times New Roman" w:cs="Times New Roman"/>
              </w:rPr>
              <w:t>24,832 del 70%</w:t>
            </w:r>
          </w:p>
        </w:tc>
        <w:tc>
          <w:tcPr>
            <w:tcW w:w="1129"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8.421.248,70</w:t>
            </w:r>
          </w:p>
        </w:tc>
        <w:tc>
          <w:tcPr>
            <w:tcW w:w="1128"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t>8.421.248,70</w:t>
            </w:r>
          </w:p>
        </w:tc>
      </w:tr>
      <w:tr w:rsidR="007001AB" w:rsidRPr="007001AB" w:rsidTr="003E228B">
        <w:trPr>
          <w:jc w:val="center"/>
        </w:trPr>
        <w:tc>
          <w:tcPr>
            <w:tcW w:w="1532" w:type="pct"/>
            <w:tcBorders>
              <w:top w:val="single" w:sz="4" w:space="0" w:color="auto"/>
              <w:left w:val="single" w:sz="4" w:space="0" w:color="auto"/>
              <w:bottom w:val="single" w:sz="4" w:space="0" w:color="auto"/>
              <w:right w:val="single" w:sz="4" w:space="0" w:color="auto"/>
            </w:tcBorders>
            <w:vAlign w:val="center"/>
            <w:hideMark/>
          </w:tcPr>
          <w:p w:rsidR="007001AB" w:rsidRPr="007001AB" w:rsidRDefault="007001AB" w:rsidP="007C7D8B">
            <w:pPr>
              <w:rPr>
                <w:rFonts w:ascii="Times New Roman" w:hAnsi="Times New Roman" w:cs="Times New Roman"/>
                <w:bCs/>
              </w:rPr>
            </w:pPr>
            <w:r w:rsidRPr="007001AB">
              <w:rPr>
                <w:rFonts w:ascii="Times New Roman" w:hAnsi="Times New Roman" w:cs="Times New Roman"/>
                <w:bCs/>
              </w:rPr>
              <w:t>TOTALE</w:t>
            </w:r>
          </w:p>
        </w:tc>
        <w:tc>
          <w:tcPr>
            <w:tcW w:w="1210"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center"/>
              <w:rPr>
                <w:rFonts w:ascii="Times New Roman" w:hAnsi="Times New Roman" w:cs="Times New Roman"/>
              </w:rPr>
            </w:pPr>
            <w:r w:rsidRPr="007001AB">
              <w:rPr>
                <w:rFonts w:ascii="Times New Roman" w:hAnsi="Times New Roman" w:cs="Times New Roman"/>
              </w:rPr>
              <w:t>100,00 %</w:t>
            </w:r>
          </w:p>
        </w:tc>
        <w:tc>
          <w:tcPr>
            <w:tcW w:w="1129"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fldChar w:fldCharType="begin"/>
            </w:r>
            <w:r w:rsidRPr="007001AB">
              <w:rPr>
                <w:rFonts w:ascii="Times New Roman" w:hAnsi="Times New Roman" w:cs="Times New Roman"/>
              </w:rPr>
              <w:instrText xml:space="preserve"> =SUM(ABOVE) </w:instrText>
            </w:r>
            <w:r w:rsidRPr="007001AB">
              <w:rPr>
                <w:rFonts w:ascii="Times New Roman" w:hAnsi="Times New Roman" w:cs="Times New Roman"/>
              </w:rPr>
              <w:fldChar w:fldCharType="separate"/>
            </w:r>
            <w:r w:rsidRPr="007001AB">
              <w:rPr>
                <w:rFonts w:ascii="Times New Roman" w:hAnsi="Times New Roman" w:cs="Times New Roman"/>
              </w:rPr>
              <w:t>48.446.984,81</w:t>
            </w:r>
            <w:r w:rsidRPr="007001AB">
              <w:rPr>
                <w:rFonts w:ascii="Times New Roman" w:hAnsi="Times New Roman" w:cs="Times New Roman"/>
              </w:rPr>
              <w:fldChar w:fldCharType="end"/>
            </w:r>
          </w:p>
        </w:tc>
        <w:tc>
          <w:tcPr>
            <w:tcW w:w="1128" w:type="pct"/>
            <w:tcBorders>
              <w:top w:val="single" w:sz="4" w:space="0" w:color="auto"/>
              <w:left w:val="single" w:sz="4" w:space="0" w:color="auto"/>
              <w:bottom w:val="single" w:sz="4" w:space="0" w:color="auto"/>
              <w:right w:val="single" w:sz="4" w:space="0" w:color="auto"/>
            </w:tcBorders>
            <w:vAlign w:val="center"/>
          </w:tcPr>
          <w:p w:rsidR="007001AB" w:rsidRPr="007001AB" w:rsidRDefault="007001AB" w:rsidP="007C7D8B">
            <w:pPr>
              <w:jc w:val="right"/>
              <w:rPr>
                <w:rFonts w:ascii="Times New Roman" w:hAnsi="Times New Roman" w:cs="Times New Roman"/>
              </w:rPr>
            </w:pPr>
            <w:r w:rsidRPr="007001AB">
              <w:rPr>
                <w:rFonts w:ascii="Times New Roman" w:hAnsi="Times New Roman" w:cs="Times New Roman"/>
              </w:rPr>
              <w:fldChar w:fldCharType="begin"/>
            </w:r>
            <w:r w:rsidRPr="007001AB">
              <w:rPr>
                <w:rFonts w:ascii="Times New Roman" w:hAnsi="Times New Roman" w:cs="Times New Roman"/>
              </w:rPr>
              <w:instrText xml:space="preserve"> =SUM(ABOVE) </w:instrText>
            </w:r>
            <w:r w:rsidRPr="007001AB">
              <w:rPr>
                <w:rFonts w:ascii="Times New Roman" w:hAnsi="Times New Roman" w:cs="Times New Roman"/>
              </w:rPr>
              <w:fldChar w:fldCharType="separate"/>
            </w:r>
            <w:r w:rsidRPr="007001AB">
              <w:rPr>
                <w:rFonts w:ascii="Times New Roman" w:hAnsi="Times New Roman" w:cs="Times New Roman"/>
              </w:rPr>
              <w:t>37.607.468</w:t>
            </w:r>
            <w:r w:rsidRPr="007001AB">
              <w:rPr>
                <w:rFonts w:ascii="Times New Roman" w:hAnsi="Times New Roman" w:cs="Times New Roman"/>
              </w:rPr>
              <w:fldChar w:fldCharType="end"/>
            </w:r>
            <w:r w:rsidRPr="007001AB">
              <w:rPr>
                <w:rFonts w:ascii="Times New Roman" w:hAnsi="Times New Roman" w:cs="Times New Roman"/>
              </w:rPr>
              <w:t>,00</w:t>
            </w:r>
          </w:p>
        </w:tc>
      </w:tr>
    </w:tbl>
    <w:p w:rsidR="00C8424C" w:rsidRPr="00955E53" w:rsidRDefault="00C8424C" w:rsidP="00C8424C">
      <w:pPr>
        <w:suppressAutoHyphens/>
        <w:spacing w:after="0"/>
        <w:textAlignment w:val="baseline"/>
        <w:rPr>
          <w:rFonts w:ascii="Times New Roman" w:eastAsia="Calibri" w:hAnsi="Times New Roman" w:cs="Times New Roman"/>
          <w:b/>
        </w:rPr>
      </w:pPr>
    </w:p>
    <w:p w:rsidR="00C8424C" w:rsidRPr="00955E53" w:rsidRDefault="00C8424C" w:rsidP="00C8424C">
      <w:pPr>
        <w:suppressAutoHyphens/>
        <w:spacing w:after="0"/>
        <w:textAlignment w:val="baseline"/>
        <w:rPr>
          <w:rFonts w:ascii="Times New Roman" w:eastAsia="Calibri" w:hAnsi="Times New Roman" w:cs="Times New Roman"/>
          <w:b/>
          <w:color w:val="00000A"/>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1</w:t>
      </w:r>
      <w:r w:rsidR="004F2946">
        <w:rPr>
          <w:rFonts w:ascii="Times New Roman" w:hAnsi="Times New Roman" w:cs="Times New Roman"/>
          <w:b/>
          <w:bCs/>
          <w:smallCaps/>
          <w:color w:val="C00000"/>
          <w:u w:val="single"/>
        </w:rPr>
        <w:t>0</w:t>
      </w:r>
      <w:r w:rsidRPr="00955E53">
        <w:rPr>
          <w:rFonts w:ascii="Times New Roman" w:hAnsi="Times New Roman" w:cs="Times New Roman"/>
          <w:b/>
          <w:bCs/>
          <w:smallCaps/>
          <w:color w:val="C00000"/>
          <w:u w:val="single"/>
        </w:rPr>
        <w:t xml:space="preserve"> – modalità di pagamento</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I pagamenti saranno disposti sulla base degli stati di avanzamento dei lavori fino ad un massimo pari al 90% del costo totale del progetto ed a seguito dell’inserimento dei dati nel Sistema di monitoraggio predisposto dal MIUR.</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lastRenderedPageBreak/>
        <w:t xml:space="preserve">Il saldo verrà concesso solo al termine dei lavori, a seguito di rilascio di certificato di collaudo/regolare esecuzione dei lavori e dopo la verifica dell’avvenuto aggiornamento nell’Anagrafe Regionale dell’Edilizia Scolastica (ARES) dei dati relativi all’edificio oggetto del contributo. </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Per i progetti che prevedono interventi di efficientamento energetico, prima della liquidazione del saldo, dovrà essere dimostrato il raggiungimento del livello di prestazione energetica (APE </w:t>
      </w:r>
      <w:r w:rsidRPr="00955E53">
        <w:rPr>
          <w:rFonts w:ascii="Times New Roman" w:eastAsia="Calibri" w:hAnsi="Times New Roman" w:cs="Times New Roman"/>
          <w:bCs/>
          <w:i/>
          <w:color w:val="00000A"/>
        </w:rPr>
        <w:t>post operam</w:t>
      </w:r>
      <w:r w:rsidRPr="00955E53">
        <w:rPr>
          <w:rFonts w:ascii="Times New Roman" w:eastAsia="Calibri" w:hAnsi="Times New Roman" w:cs="Times New Roman"/>
          <w:bCs/>
          <w:color w:val="00000A"/>
        </w:rPr>
        <w:t>) dichiarato al momento di presentazione della domanda pena la riduzione del finanziamento proporzionalmente all’importo dei lavori di efficientamento indicati nella proposta rispetto al costo totale dei lavori da QTE di fine lavori.</w:t>
      </w:r>
    </w:p>
    <w:p w:rsidR="00C8424C" w:rsidRPr="00955E53" w:rsidRDefault="00C8424C" w:rsidP="00C8424C">
      <w:pPr>
        <w:spacing w:after="0"/>
        <w:jc w:val="both"/>
        <w:rPr>
          <w:rFonts w:ascii="Times New Roman" w:hAnsi="Times New Roman" w:cs="Times New Roman"/>
          <w:b/>
          <w:bCs/>
          <w:smallCaps/>
          <w:color w:val="C00000"/>
          <w:u w:val="single"/>
        </w:rPr>
      </w:pPr>
    </w:p>
    <w:p w:rsidR="00C8424C" w:rsidRPr="00955E53" w:rsidRDefault="00C8424C" w:rsidP="00C8424C">
      <w:pPr>
        <w:spacing w:after="0"/>
        <w:rPr>
          <w:rFonts w:ascii="Times New Roman" w:hAnsi="Times New Roman" w:cs="Times New Roman"/>
          <w:color w:val="000000"/>
        </w:rPr>
      </w:pPr>
      <w:r w:rsidRPr="00955E53">
        <w:rPr>
          <w:rFonts w:ascii="Times New Roman" w:hAnsi="Times New Roman" w:cs="Times New Roman"/>
          <w:b/>
          <w:bCs/>
          <w:smallCaps/>
          <w:color w:val="C00000"/>
          <w:u w:val="single"/>
        </w:rPr>
        <w:t>Art. 1</w:t>
      </w:r>
      <w:r w:rsidR="004F2946">
        <w:rPr>
          <w:rFonts w:ascii="Times New Roman" w:hAnsi="Times New Roman" w:cs="Times New Roman"/>
          <w:b/>
          <w:bCs/>
          <w:smallCaps/>
          <w:color w:val="C00000"/>
          <w:u w:val="single"/>
        </w:rPr>
        <w:t>1</w:t>
      </w:r>
      <w:r w:rsidRPr="00955E53">
        <w:rPr>
          <w:rFonts w:ascii="Times New Roman" w:hAnsi="Times New Roman" w:cs="Times New Roman"/>
          <w:b/>
          <w:bCs/>
          <w:smallCaps/>
          <w:color w:val="C00000"/>
          <w:u w:val="single"/>
        </w:rPr>
        <w:t xml:space="preserve"> – Altre informazioni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 trasmissione della proposta progettuale non impegna la Regione a dare seguito alla realizzazione delle azioni proposte, né a corrispondere alcun indennizzo o rimborso ai soggetti richiedenti.</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L’Amministrazione si riserva la facoltà di verificare le dichiarazioni rese dai proponenti e di richiedere agli stessi ulteriore documentazione a chiarimento e/o integrazione.</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L’Amministrazione si riserva, altresì, di revocare o annullare la presente procedura, senza che i proponenti possano vantare alcuna pretesa.</w:t>
      </w:r>
    </w:p>
    <w:p w:rsidR="00C8424C" w:rsidRPr="00955E53" w:rsidRDefault="00C8424C" w:rsidP="00C8424C">
      <w:pPr>
        <w:widowControl w:val="0"/>
        <w:spacing w:before="120" w:after="0"/>
        <w:jc w:val="both"/>
        <w:rPr>
          <w:rFonts w:ascii="Times New Roman" w:eastAsia="Calibri" w:hAnsi="Times New Roman" w:cs="Times New Roman"/>
          <w:bCs/>
          <w:color w:val="00000A"/>
        </w:rPr>
      </w:pPr>
      <w:r w:rsidRPr="00955E53">
        <w:rPr>
          <w:rFonts w:ascii="Times New Roman" w:eastAsia="Calibri" w:hAnsi="Times New Roman" w:cs="Times New Roman"/>
          <w:bCs/>
          <w:color w:val="00000A"/>
        </w:rPr>
        <w:t xml:space="preserve">I dati contenuti nelle proposte presentate saranno trattati secondo quanto previsto dal decreto legislativo n.196/2003. </w:t>
      </w:r>
    </w:p>
    <w:p w:rsidR="00C8424C" w:rsidRDefault="00C8424C" w:rsidP="00C8424C">
      <w:pPr>
        <w:widowControl w:val="0"/>
        <w:spacing w:before="120" w:after="0"/>
        <w:jc w:val="both"/>
        <w:rPr>
          <w:rFonts w:ascii="Times New Roman" w:eastAsia="Calibri" w:hAnsi="Times New Roman" w:cs="Times New Roman"/>
          <w:bCs/>
          <w:color w:val="00000A"/>
        </w:rPr>
      </w:pPr>
      <w:r w:rsidRPr="007237CD">
        <w:rPr>
          <w:rFonts w:ascii="Times New Roman" w:eastAsia="Calibri" w:hAnsi="Times New Roman" w:cs="Times New Roman"/>
          <w:bCs/>
          <w:color w:val="00000A"/>
        </w:rPr>
        <w:t>Il Responsabile del trattamento dei dati è il Dirigente della PF. “</w:t>
      </w:r>
      <w:r w:rsidR="001328D7">
        <w:rPr>
          <w:rFonts w:ascii="Times New Roman" w:hAnsi="Times New Roman" w:cs="Times New Roman"/>
          <w:iCs/>
        </w:rPr>
        <w:t>Urbanistica, Paesaggio, Informazioni territoriali, E</w:t>
      </w:r>
      <w:r w:rsidR="001328D7" w:rsidRPr="006C606E">
        <w:rPr>
          <w:rFonts w:ascii="Times New Roman" w:hAnsi="Times New Roman" w:cs="Times New Roman"/>
          <w:iCs/>
        </w:rPr>
        <w:t xml:space="preserve">dilizia, </w:t>
      </w:r>
      <w:r w:rsidR="001328D7">
        <w:rPr>
          <w:rFonts w:ascii="Times New Roman" w:hAnsi="Times New Roman" w:cs="Times New Roman"/>
          <w:iCs/>
        </w:rPr>
        <w:t>Espropriazioni</w:t>
      </w:r>
      <w:r w:rsidRPr="007237CD">
        <w:rPr>
          <w:rFonts w:ascii="Times New Roman" w:eastAsia="Calibri" w:hAnsi="Times New Roman" w:cs="Times New Roman"/>
          <w:bCs/>
          <w:color w:val="00000A"/>
        </w:rPr>
        <w:t>”.</w:t>
      </w:r>
    </w:p>
    <w:p w:rsidR="00A85D7E" w:rsidRPr="007237CD" w:rsidRDefault="00A85D7E" w:rsidP="00C8424C">
      <w:pPr>
        <w:widowControl w:val="0"/>
        <w:spacing w:before="120" w:after="0"/>
        <w:jc w:val="both"/>
        <w:rPr>
          <w:rFonts w:ascii="Times New Roman" w:eastAsia="Calibri" w:hAnsi="Times New Roman" w:cs="Times New Roman"/>
          <w:bCs/>
          <w:color w:val="00000A"/>
        </w:rPr>
      </w:pPr>
    </w:p>
    <w:p w:rsidR="00ED3696" w:rsidRDefault="00C8424C" w:rsidP="00C8424C">
      <w:pPr>
        <w:widowControl w:val="0"/>
        <w:spacing w:before="120" w:after="0"/>
        <w:jc w:val="both"/>
        <w:rPr>
          <w:rFonts w:ascii="Times New Roman" w:eastAsia="Calibri" w:hAnsi="Times New Roman" w:cs="Times New Roman"/>
          <w:bCs/>
          <w:color w:val="00000A"/>
        </w:rPr>
      </w:pPr>
      <w:r w:rsidRPr="007237CD">
        <w:rPr>
          <w:rFonts w:ascii="Times New Roman" w:eastAsia="Calibri" w:hAnsi="Times New Roman" w:cs="Times New Roman"/>
          <w:bCs/>
          <w:color w:val="00000A"/>
        </w:rPr>
        <w:t>Il Responsabile del procedimento è</w:t>
      </w:r>
      <w:r w:rsidR="00ED3696">
        <w:rPr>
          <w:rFonts w:ascii="Times New Roman" w:eastAsia="Calibri" w:hAnsi="Times New Roman" w:cs="Times New Roman"/>
          <w:bCs/>
          <w:color w:val="00000A"/>
        </w:rPr>
        <w:t>:</w:t>
      </w:r>
    </w:p>
    <w:p w:rsidR="00C8424C" w:rsidRDefault="00C8424C" w:rsidP="00C8424C">
      <w:pPr>
        <w:widowControl w:val="0"/>
        <w:spacing w:before="120" w:after="0"/>
        <w:jc w:val="both"/>
        <w:rPr>
          <w:rStyle w:val="Collegamentoipertestuale"/>
          <w:rFonts w:ascii="Times New Roman" w:eastAsia="Calibri" w:hAnsi="Times New Roman" w:cs="Times New Roman"/>
          <w:bCs/>
        </w:rPr>
      </w:pPr>
      <w:r w:rsidRPr="007237CD">
        <w:rPr>
          <w:rFonts w:ascii="Times New Roman" w:eastAsia="Calibri" w:hAnsi="Times New Roman" w:cs="Times New Roman"/>
          <w:bCs/>
          <w:color w:val="00000A"/>
        </w:rPr>
        <w:t xml:space="preserve">Sbrollini Carmen </w:t>
      </w:r>
      <w:r w:rsidR="00ED3696">
        <w:rPr>
          <w:rFonts w:ascii="Times New Roman" w:eastAsia="Calibri" w:hAnsi="Times New Roman" w:cs="Times New Roman"/>
          <w:bCs/>
          <w:color w:val="00000A"/>
        </w:rPr>
        <w:tab/>
      </w:r>
      <w:r w:rsidRPr="007237CD">
        <w:rPr>
          <w:rFonts w:ascii="Times New Roman" w:eastAsia="Calibri" w:hAnsi="Times New Roman" w:cs="Times New Roman"/>
          <w:bCs/>
          <w:color w:val="00000A"/>
        </w:rPr>
        <w:t xml:space="preserve">Tel. 071-806.7353 </w:t>
      </w:r>
      <w:r w:rsidR="00ED3696">
        <w:rPr>
          <w:rFonts w:ascii="Times New Roman" w:eastAsia="Calibri" w:hAnsi="Times New Roman" w:cs="Times New Roman"/>
          <w:bCs/>
          <w:color w:val="00000A"/>
        </w:rPr>
        <w:tab/>
      </w:r>
      <w:r w:rsidR="00ED3696">
        <w:rPr>
          <w:rFonts w:ascii="Times New Roman" w:eastAsia="Calibri" w:hAnsi="Times New Roman" w:cs="Times New Roman"/>
          <w:bCs/>
          <w:color w:val="00000A"/>
        </w:rPr>
        <w:tab/>
      </w:r>
      <w:r w:rsidRPr="007237CD">
        <w:rPr>
          <w:rFonts w:ascii="Times New Roman" w:eastAsia="Calibri" w:hAnsi="Times New Roman" w:cs="Times New Roman"/>
          <w:bCs/>
          <w:color w:val="00000A"/>
        </w:rPr>
        <w:t xml:space="preserve">e-mail </w:t>
      </w:r>
      <w:hyperlink r:id="rId9" w:history="1">
        <w:r w:rsidRPr="007237CD">
          <w:rPr>
            <w:rStyle w:val="Collegamentoipertestuale"/>
            <w:rFonts w:ascii="Times New Roman" w:eastAsia="Calibri" w:hAnsi="Times New Roman" w:cs="Times New Roman"/>
            <w:bCs/>
          </w:rPr>
          <w:t>carmen.sbrollini@regione.marche.it</w:t>
        </w:r>
      </w:hyperlink>
    </w:p>
    <w:p w:rsidR="00C8424C" w:rsidRPr="007237CD" w:rsidRDefault="00C8424C" w:rsidP="00C8424C">
      <w:pPr>
        <w:widowControl w:val="0"/>
        <w:spacing w:before="120" w:after="0"/>
        <w:jc w:val="both"/>
        <w:rPr>
          <w:rFonts w:ascii="Times New Roman" w:eastAsia="Calibri" w:hAnsi="Times New Roman" w:cs="Times New Roman"/>
          <w:bCs/>
          <w:color w:val="00000A"/>
        </w:rPr>
      </w:pPr>
    </w:p>
    <w:p w:rsidR="00C8424C" w:rsidRPr="007237CD" w:rsidRDefault="00C8424C" w:rsidP="00C8424C">
      <w:pPr>
        <w:widowControl w:val="0"/>
        <w:spacing w:before="120" w:after="0"/>
        <w:jc w:val="both"/>
        <w:rPr>
          <w:rFonts w:ascii="Times New Roman" w:eastAsia="Calibri" w:hAnsi="Times New Roman" w:cs="Times New Roman"/>
          <w:bCs/>
          <w:color w:val="00000A"/>
        </w:rPr>
      </w:pPr>
      <w:r w:rsidRPr="007237CD">
        <w:rPr>
          <w:rFonts w:ascii="Times New Roman" w:eastAsia="Calibri" w:hAnsi="Times New Roman" w:cs="Times New Roman"/>
          <w:bCs/>
          <w:color w:val="00000A"/>
        </w:rPr>
        <w:t>Ulteriori  recapiti presso cui è possibile chiedere informazioni sulla presente procedura sono:</w:t>
      </w:r>
    </w:p>
    <w:p w:rsidR="00C8424C" w:rsidRPr="007237CD" w:rsidRDefault="00C8424C" w:rsidP="00C8424C">
      <w:pPr>
        <w:widowControl w:val="0"/>
        <w:spacing w:before="120" w:after="0"/>
        <w:rPr>
          <w:rFonts w:ascii="Times New Roman" w:eastAsia="Calibri" w:hAnsi="Times New Roman" w:cs="Times New Roman"/>
          <w:bCs/>
          <w:color w:val="00000A"/>
        </w:rPr>
      </w:pPr>
      <w:r w:rsidRPr="007237CD">
        <w:rPr>
          <w:rFonts w:ascii="Times New Roman" w:eastAsia="Calibri" w:hAnsi="Times New Roman" w:cs="Times New Roman"/>
          <w:bCs/>
          <w:color w:val="00000A"/>
        </w:rPr>
        <w:t xml:space="preserve">Pettinari Beatrice </w:t>
      </w:r>
      <w:r w:rsidR="005E0B98">
        <w:rPr>
          <w:rFonts w:ascii="Times New Roman" w:eastAsia="Calibri" w:hAnsi="Times New Roman" w:cs="Times New Roman"/>
          <w:bCs/>
          <w:color w:val="00000A"/>
        </w:rPr>
        <w:tab/>
      </w:r>
      <w:r w:rsidRPr="007237CD">
        <w:rPr>
          <w:rFonts w:ascii="Times New Roman" w:eastAsia="Calibri" w:hAnsi="Times New Roman" w:cs="Times New Roman"/>
          <w:bCs/>
          <w:color w:val="00000A"/>
        </w:rPr>
        <w:t xml:space="preserve">Tel. 071-806.7342 </w:t>
      </w:r>
      <w:r w:rsidR="005E0B98">
        <w:rPr>
          <w:rFonts w:ascii="Times New Roman" w:eastAsia="Calibri" w:hAnsi="Times New Roman" w:cs="Times New Roman"/>
          <w:bCs/>
          <w:color w:val="00000A"/>
        </w:rPr>
        <w:tab/>
      </w:r>
      <w:r w:rsidR="005E0B98">
        <w:rPr>
          <w:rFonts w:ascii="Times New Roman" w:eastAsia="Calibri" w:hAnsi="Times New Roman" w:cs="Times New Roman"/>
          <w:bCs/>
          <w:color w:val="00000A"/>
        </w:rPr>
        <w:tab/>
      </w:r>
      <w:r w:rsidRPr="007237CD">
        <w:rPr>
          <w:rFonts w:ascii="Times New Roman" w:eastAsia="Calibri" w:hAnsi="Times New Roman" w:cs="Times New Roman"/>
          <w:bCs/>
          <w:color w:val="00000A"/>
        </w:rPr>
        <w:t xml:space="preserve">e-mail </w:t>
      </w:r>
      <w:hyperlink r:id="rId10" w:history="1">
        <w:r w:rsidR="005E0B98" w:rsidRPr="00612A84">
          <w:rPr>
            <w:rStyle w:val="Collegamentoipertestuale"/>
            <w:rFonts w:ascii="Times New Roman" w:eastAsia="Calibri" w:hAnsi="Times New Roman" w:cs="Times New Roman"/>
            <w:bCs/>
          </w:rPr>
          <w:t>beatrice.pettinari@regione.marche.it</w:t>
        </w:r>
      </w:hyperlink>
      <w:r w:rsidR="005E0B98">
        <w:rPr>
          <w:rFonts w:ascii="Times New Roman" w:eastAsia="Calibri" w:hAnsi="Times New Roman" w:cs="Times New Roman"/>
          <w:bCs/>
          <w:color w:val="00000A"/>
        </w:rPr>
        <w:t xml:space="preserve"> </w:t>
      </w:r>
    </w:p>
    <w:p w:rsidR="001328D7" w:rsidRDefault="00C8424C" w:rsidP="001328D7">
      <w:pPr>
        <w:widowControl w:val="0"/>
        <w:spacing w:before="120" w:after="0"/>
        <w:rPr>
          <w:rFonts w:ascii="Times New Roman" w:eastAsia="Calibri" w:hAnsi="Times New Roman" w:cs="Times New Roman"/>
          <w:bCs/>
          <w:color w:val="00000A"/>
        </w:rPr>
      </w:pPr>
      <w:r w:rsidRPr="007237CD">
        <w:rPr>
          <w:rFonts w:ascii="Times New Roman" w:eastAsia="Calibri" w:hAnsi="Times New Roman" w:cs="Times New Roman"/>
          <w:bCs/>
          <w:color w:val="00000A"/>
        </w:rPr>
        <w:t xml:space="preserve">Baldoni Stefano </w:t>
      </w:r>
      <w:r w:rsidR="005E0B98">
        <w:rPr>
          <w:rFonts w:ascii="Times New Roman" w:eastAsia="Calibri" w:hAnsi="Times New Roman" w:cs="Times New Roman"/>
          <w:bCs/>
          <w:color w:val="00000A"/>
        </w:rPr>
        <w:tab/>
      </w:r>
      <w:r w:rsidRPr="007237CD">
        <w:rPr>
          <w:rFonts w:ascii="Times New Roman" w:eastAsia="Calibri" w:hAnsi="Times New Roman" w:cs="Times New Roman"/>
          <w:bCs/>
          <w:color w:val="00000A"/>
        </w:rPr>
        <w:t xml:space="preserve">Tel. 071-806.7343 </w:t>
      </w:r>
      <w:r w:rsidR="005E0B98">
        <w:rPr>
          <w:rFonts w:ascii="Times New Roman" w:eastAsia="Calibri" w:hAnsi="Times New Roman" w:cs="Times New Roman"/>
          <w:bCs/>
          <w:color w:val="00000A"/>
        </w:rPr>
        <w:tab/>
      </w:r>
      <w:r w:rsidR="005E0B98">
        <w:rPr>
          <w:rFonts w:ascii="Times New Roman" w:eastAsia="Calibri" w:hAnsi="Times New Roman" w:cs="Times New Roman"/>
          <w:bCs/>
          <w:color w:val="00000A"/>
        </w:rPr>
        <w:tab/>
      </w:r>
      <w:r w:rsidRPr="007237CD">
        <w:rPr>
          <w:rFonts w:ascii="Times New Roman" w:eastAsia="Calibri" w:hAnsi="Times New Roman" w:cs="Times New Roman"/>
          <w:bCs/>
          <w:color w:val="00000A"/>
        </w:rPr>
        <w:t xml:space="preserve">e-mail </w:t>
      </w:r>
      <w:hyperlink r:id="rId11" w:history="1">
        <w:r w:rsidR="001328D7" w:rsidRPr="00EC1FAC">
          <w:rPr>
            <w:rStyle w:val="Collegamentoipertestuale"/>
            <w:rFonts w:ascii="Times New Roman" w:eastAsia="Calibri" w:hAnsi="Times New Roman" w:cs="Times New Roman"/>
            <w:bCs/>
          </w:rPr>
          <w:t>stefano.baldoni@regione.marche.it</w:t>
        </w:r>
      </w:hyperlink>
    </w:p>
    <w:p w:rsidR="001328D7" w:rsidRPr="001328D7" w:rsidRDefault="001328D7" w:rsidP="001328D7">
      <w:pPr>
        <w:widowControl w:val="0"/>
        <w:spacing w:before="120" w:after="0"/>
        <w:rPr>
          <w:rFonts w:ascii="Times New Roman" w:eastAsia="Calibri" w:hAnsi="Times New Roman" w:cs="Times New Roman"/>
          <w:bCs/>
          <w:color w:val="00000A"/>
        </w:rPr>
      </w:pPr>
      <w:r w:rsidRPr="001328D7">
        <w:rPr>
          <w:rFonts w:ascii="Times New Roman" w:hAnsi="Times New Roman" w:cs="Times New Roman"/>
        </w:rPr>
        <w:t xml:space="preserve">Gabrielli Massimiliano </w:t>
      </w:r>
      <w:r w:rsidR="005E0B98">
        <w:rPr>
          <w:rFonts w:ascii="Times New Roman" w:hAnsi="Times New Roman" w:cs="Times New Roman"/>
        </w:rPr>
        <w:tab/>
      </w:r>
      <w:r w:rsidRPr="001328D7">
        <w:rPr>
          <w:rFonts w:ascii="Times New Roman" w:hAnsi="Times New Roman" w:cs="Times New Roman"/>
        </w:rPr>
        <w:t>Tel. 0</w:t>
      </w:r>
      <w:r w:rsidR="005E0B98">
        <w:rPr>
          <w:rFonts w:ascii="Times New Roman" w:hAnsi="Times New Roman" w:cs="Times New Roman"/>
        </w:rPr>
        <w:t xml:space="preserve">71-806.3955 806.7336 </w:t>
      </w:r>
      <w:r w:rsidR="005E0B98">
        <w:rPr>
          <w:rFonts w:ascii="Times New Roman" w:hAnsi="Times New Roman" w:cs="Times New Roman"/>
        </w:rPr>
        <w:tab/>
        <w:t xml:space="preserve">e-mail </w:t>
      </w:r>
      <w:hyperlink r:id="rId12" w:history="1">
        <w:r w:rsidR="005E0B98" w:rsidRPr="00612A84">
          <w:rPr>
            <w:rStyle w:val="Collegamentoipertestuale"/>
            <w:rFonts w:ascii="Times New Roman" w:hAnsi="Times New Roman" w:cs="Times New Roman"/>
          </w:rPr>
          <w:t>massimiliano.gabrielli@</w:t>
        </w:r>
        <w:r w:rsidR="005E0B98" w:rsidRPr="00612A84">
          <w:rPr>
            <w:rStyle w:val="Collegamentoipertestuale"/>
            <w:rFonts w:ascii="Times New Roman" w:eastAsia="Calibri" w:hAnsi="Times New Roman" w:cs="Times New Roman"/>
            <w:bCs/>
          </w:rPr>
          <w:t>regione.marche.it</w:t>
        </w:r>
      </w:hyperlink>
      <w:r w:rsidR="005E0B98">
        <w:rPr>
          <w:rFonts w:ascii="Times New Roman" w:eastAsia="Calibri" w:hAnsi="Times New Roman" w:cs="Times New Roman"/>
          <w:bCs/>
          <w:color w:val="00000A"/>
        </w:rPr>
        <w:t xml:space="preserve"> </w:t>
      </w:r>
    </w:p>
    <w:p w:rsidR="00C8424C" w:rsidRDefault="00C8424C" w:rsidP="001328D7">
      <w:pPr>
        <w:jc w:val="right"/>
        <w:rPr>
          <w:rFonts w:ascii="Times New Roman" w:hAnsi="Times New Roman" w:cs="Times New Roman"/>
          <w:bCs/>
        </w:rPr>
      </w:pPr>
      <w:r>
        <w:br w:type="page"/>
      </w:r>
      <w:r w:rsidR="001328D7">
        <w:lastRenderedPageBreak/>
        <w:t>A</w:t>
      </w:r>
      <w:r>
        <w:rPr>
          <w:rFonts w:ascii="Times New Roman" w:hAnsi="Times New Roman" w:cs="Times New Roman"/>
          <w:bCs/>
        </w:rPr>
        <w:t>llegato 1 dell’allegato “A”</w:t>
      </w:r>
    </w:p>
    <w:p w:rsidR="00C8424C" w:rsidRDefault="00C8424C" w:rsidP="00C8424C">
      <w:pPr>
        <w:pStyle w:val="Paragrafoelenco"/>
        <w:widowControl w:val="0"/>
        <w:spacing w:before="240"/>
        <w:ind w:left="0"/>
        <w:jc w:val="both"/>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I valori di capacità indicati nella seguente procedura sono convenzionali e possono essere utilizzati unicamente allo scopo di definire una graduatoria per le finalità del provvedimento. Essi non possono in alcun modo essere assunti e utilizzati come valori effettivi dell'indice di rischio, che possono solo essere determinati attraverso analisi effettuate ai sensi delle NTC vigenti.</w:t>
      </w: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Il punteggio sarà attribuito secondo la seguente formula:</w:t>
      </w:r>
    </w:p>
    <w:p w:rsidR="00C8424C" w:rsidRPr="00955E53" w:rsidRDefault="00C8424C" w:rsidP="00C8424C">
      <w:pPr>
        <w:rPr>
          <w:rFonts w:ascii="Times New Roman" w:hAnsi="Times New Roman" w:cs="Times New Roman"/>
        </w:rPr>
      </w:pPr>
    </w:p>
    <w:p w:rsidR="00C8424C" w:rsidRPr="00955E53" w:rsidRDefault="009A00D8" w:rsidP="00C8424C">
      <w:pPr>
        <w:ind w:firstLine="708"/>
        <w:rPr>
          <w:rFonts w:ascii="Times New Roman" w:hAnsi="Times New Roman" w:cs="Times New Roman"/>
          <w:bCs/>
        </w:rPr>
      </w:pPr>
      <w:r w:rsidRPr="009A00D8">
        <w:rPr>
          <w:rFonts w:ascii="Times New Roman" w:hAnsi="Times New Roman" w:cs="Times New Roman"/>
          <w:bCs/>
          <w:position w:val="-52"/>
        </w:rPr>
        <w:object w:dxaOrig="366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58.5pt" o:ole="">
            <v:imagedata r:id="rId13" o:title=""/>
          </v:shape>
          <o:OLEObject Type="Embed" ProgID="Equation.3" ShapeID="_x0000_i1025" DrawAspect="Content" ObjectID="_1616219204" r:id="rId14"/>
        </w:object>
      </w:r>
    </w:p>
    <w:p w:rsidR="00C8424C" w:rsidRPr="00955E53" w:rsidRDefault="00C8424C" w:rsidP="00C8424C">
      <w:pPr>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I</w:t>
      </w:r>
      <w:r w:rsidRPr="00955E53">
        <w:rPr>
          <w:rFonts w:ascii="Times New Roman" w:hAnsi="Times New Roman" w:cs="Times New Roman"/>
          <w:bCs/>
          <w:vertAlign w:val="subscript"/>
        </w:rPr>
        <w:t>R</w:t>
      </w:r>
      <w:r w:rsidRPr="00955E53">
        <w:rPr>
          <w:rFonts w:ascii="Times New Roman" w:hAnsi="Times New Roman" w:cs="Times New Roman"/>
          <w:bCs/>
        </w:rPr>
        <w:t xml:space="preserve"> rappresenta l’indice di rischio e viene valutato come descritto nel seguito:</w:t>
      </w:r>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nel caso sia disponibile una verifica sismica effettuata ai sensi delle NTC08 condotta sulla base di un livello di conoscenza dell’edificio almeno pari a LC2, I</w:t>
      </w:r>
      <w:r w:rsidRPr="00955E53">
        <w:rPr>
          <w:rFonts w:ascii="Times New Roman" w:hAnsi="Times New Roman" w:cs="Times New Roman"/>
          <w:bCs/>
          <w:vertAlign w:val="subscript"/>
        </w:rPr>
        <w:t>R</w:t>
      </w:r>
      <w:r w:rsidRPr="00955E53">
        <w:rPr>
          <w:rFonts w:ascii="Times New Roman" w:hAnsi="Times New Roman" w:cs="Times New Roman"/>
          <w:bCs/>
        </w:rPr>
        <w:t xml:space="preserve"> è dato dal rapporto capacità / domanda allo stato limite di salvaguardia della vita, riportate entrambe al suolo effettivo del sito di costruzione;</w:t>
      </w:r>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nel caso sia disponibile una verifica sismica effettuata ai sensi dell’OPCM 3274 e smi condotta sulla base di un livello di conoscenza dell’edificio almeno pari a LC2, I</w:t>
      </w:r>
      <w:r w:rsidRPr="00955E53">
        <w:rPr>
          <w:rFonts w:ascii="Times New Roman" w:hAnsi="Times New Roman" w:cs="Times New Roman"/>
          <w:bCs/>
          <w:vertAlign w:val="subscript"/>
        </w:rPr>
        <w:t>R</w:t>
      </w:r>
      <w:r w:rsidRPr="00955E53">
        <w:rPr>
          <w:rFonts w:ascii="Times New Roman" w:hAnsi="Times New Roman" w:cs="Times New Roman"/>
          <w:bCs/>
        </w:rPr>
        <w:t xml:space="preserve"> è dato dal rapporto capacità/domanda allo stato limite di salvaguardia della vita, riportate entrambe al suolo effettivo del sito di costruzione, modificando la domanda sulla base della pericolosità sismica attuale. In mancanza di più precise determinazioni, qualora ne ricorrano le condizioni, è possibile trasformare l’indice di rischio utilizzando il foglio di calcolo messo a disposizione dal Dipartimento della Protezione Civile  </w:t>
      </w:r>
      <w:hyperlink r:id="rId15" w:history="1">
        <w:r w:rsidRPr="00955E53">
          <w:rPr>
            <w:rStyle w:val="Collegamentoipertestuale"/>
            <w:rFonts w:ascii="Times New Roman" w:hAnsi="Times New Roman" w:cs="Times New Roman"/>
            <w:shd w:val="clear" w:color="auto" w:fill="FFFFFF"/>
          </w:rPr>
          <w:t>www.protezionecivile.gov.it/resources/cms/.../Indici_di_rischio.xls</w:t>
        </w:r>
      </w:hyperlink>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qualora non si disponga di una verifica sismica conforme ai punti a) o b) I</w:t>
      </w:r>
      <w:r w:rsidRPr="00955E53">
        <w:rPr>
          <w:rFonts w:ascii="Times New Roman" w:hAnsi="Times New Roman" w:cs="Times New Roman"/>
          <w:bCs/>
          <w:vertAlign w:val="subscript"/>
        </w:rPr>
        <w:t>R</w:t>
      </w:r>
      <w:r w:rsidRPr="00955E53">
        <w:rPr>
          <w:rFonts w:ascii="Times New Roman" w:hAnsi="Times New Roman" w:cs="Times New Roman"/>
          <w:bCs/>
        </w:rPr>
        <w:t xml:space="preserve"> viene valutato come:</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I</w:t>
      </w:r>
      <w:r w:rsidRPr="00955E53">
        <w:rPr>
          <w:rFonts w:ascii="Times New Roman" w:hAnsi="Times New Roman" w:cs="Times New Roman"/>
          <w:bCs/>
          <w:vertAlign w:val="subscript"/>
        </w:rPr>
        <w:t>R</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d</w:t>
      </w:r>
      <w:r w:rsidRPr="00955E53">
        <w:rPr>
          <w:rFonts w:ascii="Times New Roman" w:hAnsi="Times New Roman" w:cs="Times New Roman"/>
          <w:bCs/>
        </w:rPr>
        <w:t>a</w:t>
      </w:r>
      <w:r w:rsidRPr="00955E53">
        <w:rPr>
          <w:rFonts w:ascii="Times New Roman" w:hAnsi="Times New Roman" w:cs="Times New Roman"/>
          <w:bCs/>
          <w:vertAlign w:val="subscript"/>
        </w:rPr>
        <w:t>g,d</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dove:</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g,d</w:t>
      </w:r>
      <w:r w:rsidRPr="00955E53">
        <w:rPr>
          <w:rFonts w:ascii="Times New Roman" w:hAnsi="Times New Roman" w:cs="Times New Roman"/>
          <w:bCs/>
        </w:rPr>
        <w:t xml:space="preserve"> S</w:t>
      </w:r>
      <w:r w:rsidRPr="00955E53">
        <w:rPr>
          <w:rFonts w:ascii="Times New Roman" w:hAnsi="Times New Roman" w:cs="Times New Roman"/>
          <w:bCs/>
          <w:vertAlign w:val="subscript"/>
        </w:rPr>
        <w:t>d</w:t>
      </w:r>
      <w:r w:rsidRPr="00955E53">
        <w:rPr>
          <w:rFonts w:ascii="Times New Roman" w:hAnsi="Times New Roman" w:cs="Times New Roman"/>
          <w:bCs/>
        </w:rPr>
        <w:t xml:space="preserve"> = ancoraggio dello spettro di domanda al suolo effettivo del sito di costruzione per la verifica dello stato limite di salvaguardia della vita;</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g,d</w:t>
      </w:r>
      <w:r w:rsidRPr="00955E53">
        <w:rPr>
          <w:rFonts w:ascii="Times New Roman" w:hAnsi="Times New Roman" w:cs="Times New Roman"/>
          <w:bCs/>
        </w:rPr>
        <w:t xml:space="preserve"> = domanda riferita a suolo rigido e pianeggiante per la verifica dello stato lmite di salvaguardia della vita, pari all’accelerazione al suolo attesa al sito di costruzione con periodo di ritorno di 712 anni, a</w:t>
      </w:r>
      <w:r w:rsidRPr="00955E53">
        <w:rPr>
          <w:rFonts w:ascii="Times New Roman" w:hAnsi="Times New Roman" w:cs="Times New Roman"/>
          <w:bCs/>
          <w:vertAlign w:val="subscript"/>
        </w:rPr>
        <w:t>g</w:t>
      </w:r>
      <w:r w:rsidRPr="00955E53">
        <w:rPr>
          <w:rFonts w:ascii="Times New Roman" w:hAnsi="Times New Roman" w:cs="Times New Roman"/>
          <w:bCs/>
        </w:rPr>
        <w:t>(T</w:t>
      </w:r>
      <w:r w:rsidRPr="00955E53">
        <w:rPr>
          <w:rFonts w:ascii="Times New Roman" w:hAnsi="Times New Roman" w:cs="Times New Roman"/>
          <w:bCs/>
          <w:vertAlign w:val="subscript"/>
        </w:rPr>
        <w:t>R</w:t>
      </w:r>
      <w:r w:rsidRPr="00955E53">
        <w:rPr>
          <w:rFonts w:ascii="Times New Roman" w:hAnsi="Times New Roman" w:cs="Times New Roman"/>
          <w:bCs/>
        </w:rPr>
        <w:t xml:space="preserve">=712, suolo A). </w: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rPr>
        <w:t>S</w:t>
      </w:r>
      <w:r w:rsidRPr="00955E53">
        <w:rPr>
          <w:rFonts w:ascii="Times New Roman" w:hAnsi="Times New Roman" w:cs="Times New Roman"/>
          <w:bCs/>
          <w:vertAlign w:val="subscript"/>
        </w:rPr>
        <w:t>d</w:t>
      </w:r>
      <w:r w:rsidRPr="00955E53">
        <w:rPr>
          <w:rFonts w:ascii="Times New Roman" w:hAnsi="Times New Roman" w:cs="Times New Roman"/>
          <w:bCs/>
        </w:rPr>
        <w:t xml:space="preserve"> = S</w:t>
      </w:r>
      <w:r w:rsidRPr="00955E53">
        <w:rPr>
          <w:rFonts w:ascii="Times New Roman" w:hAnsi="Times New Roman" w:cs="Times New Roman"/>
          <w:bCs/>
          <w:vertAlign w:val="subscript"/>
        </w:rPr>
        <w:t>S,d</w:t>
      </w:r>
      <w:r w:rsidRPr="00955E53">
        <w:rPr>
          <w:rFonts w:ascii="Times New Roman" w:hAnsi="Times New Roman" w:cs="Times New Roman"/>
          <w:bCs/>
        </w:rPr>
        <w:t xml:space="preserve"> S</w:t>
      </w:r>
      <w:r w:rsidRPr="00955E53">
        <w:rPr>
          <w:rFonts w:ascii="Times New Roman" w:hAnsi="Times New Roman" w:cs="Times New Roman"/>
          <w:bCs/>
          <w:vertAlign w:val="subscript"/>
        </w:rPr>
        <w:t>T</w:t>
      </w:r>
      <w:r w:rsidRPr="00955E53">
        <w:rPr>
          <w:rFonts w:ascii="Times New Roman" w:hAnsi="Times New Roman" w:cs="Times New Roman"/>
          <w:bCs/>
        </w:rPr>
        <w:t xml:space="preserve"> = coefficiente che tiene conto della categoria di sottosuolo e delle condizioni topografiche valutate per a</w:t>
      </w:r>
      <w:r w:rsidRPr="00955E53">
        <w:rPr>
          <w:rFonts w:ascii="Times New Roman" w:hAnsi="Times New Roman" w:cs="Times New Roman"/>
          <w:bCs/>
          <w:vertAlign w:val="subscript"/>
        </w:rPr>
        <w:t xml:space="preserve">g,d. </w:t>
      </w:r>
      <w:r w:rsidRPr="00955E53">
        <w:rPr>
          <w:rFonts w:ascii="Times New Roman" w:hAnsi="Times New Roman" w:cs="Times New Roman"/>
          <w:bCs/>
        </w:rPr>
        <w:t>In mancanza di più precise determinazioni si assumerà, convenzionalmente, un suolo di categoria B;</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 xml:space="preserve"> S</w:t>
      </w:r>
      <w:r w:rsidRPr="00955E53">
        <w:rPr>
          <w:rFonts w:ascii="Times New Roman" w:hAnsi="Times New Roman" w:cs="Times New Roman"/>
          <w:bCs/>
          <w:vertAlign w:val="subscript"/>
        </w:rPr>
        <w:t>c</w:t>
      </w:r>
      <w:r w:rsidRPr="00955E53">
        <w:rPr>
          <w:rFonts w:ascii="Times New Roman" w:hAnsi="Times New Roman" w:cs="Times New Roman"/>
          <w:bCs/>
        </w:rPr>
        <w:t xml:space="preserve"> = capacità della struttura su suolo effettivo del sito di costruzione, intesa come ancoraggio dello spettro di risposta su suolo effettivo del sito di costruzione che produce il raggiungimento dello stato limite di salvaguardia della vita;</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 xml:space="preserve">g,c </w:t>
      </w:r>
      <w:r w:rsidRPr="00955E53">
        <w:rPr>
          <w:rFonts w:ascii="Times New Roman" w:hAnsi="Times New Roman" w:cs="Times New Roman"/>
          <w:bCs/>
        </w:rPr>
        <w:t>= capacità della struttura riportata a suolo rigido e pianeggiante;</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 S</w:t>
      </w:r>
      <w:r w:rsidRPr="00955E53">
        <w:rPr>
          <w:rFonts w:ascii="Times New Roman" w:hAnsi="Times New Roman" w:cs="Times New Roman"/>
          <w:bCs/>
          <w:vertAlign w:val="subscript"/>
        </w:rPr>
        <w:t>S,c</w:t>
      </w:r>
      <w:r w:rsidRPr="00955E53">
        <w:rPr>
          <w:rFonts w:ascii="Times New Roman" w:hAnsi="Times New Roman" w:cs="Times New Roman"/>
          <w:bCs/>
        </w:rPr>
        <w:t xml:space="preserve"> S</w:t>
      </w:r>
      <w:r w:rsidRPr="00955E53">
        <w:rPr>
          <w:rFonts w:ascii="Times New Roman" w:hAnsi="Times New Roman" w:cs="Times New Roman"/>
          <w:bCs/>
          <w:vertAlign w:val="subscript"/>
        </w:rPr>
        <w:t>T</w:t>
      </w:r>
      <w:r w:rsidRPr="00955E53">
        <w:rPr>
          <w:rFonts w:ascii="Times New Roman" w:hAnsi="Times New Roman" w:cs="Times New Roman"/>
          <w:bCs/>
        </w:rPr>
        <w:t xml:space="preserve"> è il coefficiente che tiene conto della categoria di sottosuolo e delle condizioni topografiche valutate per a</w:t>
      </w:r>
      <w:r w:rsidRPr="00955E53">
        <w:rPr>
          <w:rFonts w:ascii="Times New Roman" w:hAnsi="Times New Roman" w:cs="Times New Roman"/>
          <w:bCs/>
          <w:vertAlign w:val="subscript"/>
        </w:rPr>
        <w:t>g,c</w:t>
      </w:r>
      <w:r w:rsidRPr="00955E53">
        <w:rPr>
          <w:rFonts w:ascii="Times New Roman" w:hAnsi="Times New Roman" w:cs="Times New Roman"/>
          <w:bCs/>
        </w:rPr>
        <w:t>;</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 xml:space="preserve"> 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come nel seguito descritto</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c.1) se l’edificio è stato progettato successivamente all’entrata in vigore della normativa sismica per le costruzioni ed alla classificazione sismica riferite al sito di costruzione, 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a partire </w:t>
      </w:r>
      <w:r w:rsidRPr="00955E53">
        <w:rPr>
          <w:rFonts w:ascii="Times New Roman" w:hAnsi="Times New Roman" w:cs="Times New Roman"/>
          <w:bCs/>
        </w:rPr>
        <w:lastRenderedPageBreak/>
        <w:t>dalla seguente tabella:</w:t>
      </w:r>
    </w:p>
    <w:p w:rsidR="00C8424C" w:rsidRPr="00955E53" w:rsidRDefault="00C8424C" w:rsidP="00C8424C">
      <w:pPr>
        <w:pStyle w:val="Paragrafoelenco"/>
        <w:widowControl w:val="0"/>
        <w:spacing w:before="120"/>
        <w:ind w:left="709"/>
        <w:jc w:val="center"/>
        <w:rPr>
          <w:rFonts w:ascii="Times New Roman" w:hAnsi="Times New Roman" w:cs="Times New Roman"/>
          <w:bCs/>
        </w:rPr>
      </w:pPr>
      <w:r w:rsidRPr="00955E53">
        <w:rPr>
          <w:rFonts w:ascii="Times New Roman" w:hAnsi="Times New Roman" w:cs="Times New Roman"/>
          <w:i/>
        </w:rPr>
        <w:t>Tabella 1: valori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bCs/>
          <w:i/>
        </w:rPr>
        <w:t>/g</w:t>
      </w:r>
      <w:r w:rsidRPr="00955E53">
        <w:rPr>
          <w:rFonts w:ascii="Times New Roman" w:hAnsi="Times New Roman" w:cs="Times New Roman"/>
          <w:i/>
        </w:rPr>
        <w:t xml:space="preserve"> in funzione dell’epoca di costruzione e della classificazione sismica all’epoca di costruzione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8"/>
        <w:gridCol w:w="967"/>
        <w:gridCol w:w="962"/>
        <w:gridCol w:w="1051"/>
      </w:tblGrid>
      <w:tr w:rsidR="00C8424C" w:rsidRPr="00955E53" w:rsidTr="007C7D8B">
        <w:trPr>
          <w:jc w:val="center"/>
        </w:trPr>
        <w:tc>
          <w:tcPr>
            <w:tcW w:w="5438" w:type="dxa"/>
            <w:shd w:val="clear" w:color="auto" w:fill="auto"/>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Epoca di progettazione \ Zona o categoria sismica dell’epoca di progettazione</w:t>
            </w:r>
          </w:p>
        </w:tc>
        <w:tc>
          <w:tcPr>
            <w:tcW w:w="967" w:type="dxa"/>
            <w:shd w:val="clear" w:color="auto" w:fill="auto"/>
          </w:tcPr>
          <w:p w:rsidR="00C8424C" w:rsidRPr="00955E53" w:rsidRDefault="00C8424C" w:rsidP="007C7D8B">
            <w:pPr>
              <w:jc w:val="center"/>
              <w:rPr>
                <w:rFonts w:ascii="Times New Roman" w:hAnsi="Times New Roman" w:cs="Times New Roman"/>
                <w:b/>
              </w:rPr>
            </w:pPr>
            <w:r w:rsidRPr="00955E53">
              <w:rPr>
                <w:rFonts w:ascii="Times New Roman" w:hAnsi="Times New Roman" w:cs="Times New Roman"/>
                <w:b/>
              </w:rPr>
              <w:t>I</w:t>
            </w:r>
          </w:p>
        </w:tc>
        <w:tc>
          <w:tcPr>
            <w:tcW w:w="962" w:type="dxa"/>
            <w:shd w:val="clear" w:color="auto" w:fill="auto"/>
          </w:tcPr>
          <w:p w:rsidR="00C8424C" w:rsidRPr="00955E53" w:rsidRDefault="00C8424C" w:rsidP="007C7D8B">
            <w:pPr>
              <w:jc w:val="center"/>
              <w:rPr>
                <w:rFonts w:ascii="Times New Roman" w:hAnsi="Times New Roman" w:cs="Times New Roman"/>
                <w:b/>
              </w:rPr>
            </w:pPr>
            <w:r w:rsidRPr="00955E53">
              <w:rPr>
                <w:rFonts w:ascii="Times New Roman" w:hAnsi="Times New Roman" w:cs="Times New Roman"/>
                <w:b/>
              </w:rPr>
              <w:t>II</w:t>
            </w:r>
          </w:p>
        </w:tc>
        <w:tc>
          <w:tcPr>
            <w:tcW w:w="1051" w:type="dxa"/>
            <w:shd w:val="clear" w:color="auto" w:fill="auto"/>
          </w:tcPr>
          <w:p w:rsidR="00C8424C" w:rsidRPr="00955E53" w:rsidRDefault="00C8424C" w:rsidP="007C7D8B">
            <w:pPr>
              <w:jc w:val="center"/>
              <w:rPr>
                <w:rFonts w:ascii="Times New Roman" w:hAnsi="Times New Roman" w:cs="Times New Roman"/>
                <w:b/>
              </w:rPr>
            </w:pPr>
            <w:r w:rsidRPr="00955E53">
              <w:rPr>
                <w:rFonts w:ascii="Times New Roman" w:hAnsi="Times New Roman" w:cs="Times New Roman"/>
                <w:b/>
              </w:rPr>
              <w:t>III</w:t>
            </w:r>
          </w:p>
        </w:tc>
      </w:tr>
      <w:tr w:rsidR="00C8424C" w:rsidRPr="00955E53" w:rsidTr="007C7D8B">
        <w:trPr>
          <w:jc w:val="center"/>
        </w:trPr>
        <w:tc>
          <w:tcPr>
            <w:tcW w:w="5438" w:type="dxa"/>
            <w:shd w:val="clear" w:color="auto" w:fill="auto"/>
          </w:tcPr>
          <w:p w:rsidR="00C8424C" w:rsidRPr="00955E53" w:rsidRDefault="00C8424C" w:rsidP="007C7D8B">
            <w:pPr>
              <w:rPr>
                <w:rFonts w:ascii="Times New Roman" w:hAnsi="Times New Roman" w:cs="Times New Roman"/>
                <w:bCs/>
              </w:rPr>
            </w:pPr>
            <w:r w:rsidRPr="00955E53">
              <w:rPr>
                <w:rFonts w:ascii="Times New Roman" w:hAnsi="Times New Roman" w:cs="Times New Roman"/>
                <w:bCs/>
              </w:rPr>
              <w:t>Dopo il 1915</w:t>
            </w:r>
          </w:p>
        </w:tc>
        <w:tc>
          <w:tcPr>
            <w:tcW w:w="967"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0.25</w:t>
            </w:r>
          </w:p>
        </w:tc>
        <w:tc>
          <w:tcPr>
            <w:tcW w:w="962"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w:t>
            </w:r>
          </w:p>
        </w:tc>
        <w:tc>
          <w:tcPr>
            <w:tcW w:w="1051"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w:t>
            </w:r>
          </w:p>
        </w:tc>
      </w:tr>
      <w:tr w:rsidR="00C8424C" w:rsidRPr="00955E53" w:rsidTr="007C7D8B">
        <w:trPr>
          <w:jc w:val="center"/>
        </w:trPr>
        <w:tc>
          <w:tcPr>
            <w:tcW w:w="5438" w:type="dxa"/>
            <w:shd w:val="clear" w:color="auto" w:fill="auto"/>
          </w:tcPr>
          <w:p w:rsidR="00C8424C" w:rsidRPr="00955E53" w:rsidRDefault="00C8424C" w:rsidP="007C7D8B">
            <w:pPr>
              <w:rPr>
                <w:rFonts w:ascii="Times New Roman" w:hAnsi="Times New Roman" w:cs="Times New Roman"/>
                <w:bCs/>
              </w:rPr>
            </w:pPr>
            <w:r w:rsidRPr="00955E53">
              <w:rPr>
                <w:rFonts w:ascii="Times New Roman" w:hAnsi="Times New Roman" w:cs="Times New Roman"/>
                <w:bCs/>
              </w:rPr>
              <w:t>Dopo il 1930</w:t>
            </w:r>
          </w:p>
        </w:tc>
        <w:tc>
          <w:tcPr>
            <w:tcW w:w="967"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0.27</w:t>
            </w:r>
          </w:p>
        </w:tc>
        <w:tc>
          <w:tcPr>
            <w:tcW w:w="962"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0.19</w:t>
            </w:r>
          </w:p>
        </w:tc>
        <w:tc>
          <w:tcPr>
            <w:tcW w:w="1051"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w:t>
            </w:r>
          </w:p>
        </w:tc>
      </w:tr>
      <w:tr w:rsidR="00C8424C" w:rsidRPr="00955E53" w:rsidTr="007C7D8B">
        <w:trPr>
          <w:jc w:val="center"/>
        </w:trPr>
        <w:tc>
          <w:tcPr>
            <w:tcW w:w="5438" w:type="dxa"/>
            <w:shd w:val="clear" w:color="auto" w:fill="auto"/>
          </w:tcPr>
          <w:p w:rsidR="00C8424C" w:rsidRPr="00955E53" w:rsidRDefault="00C8424C" w:rsidP="007C7D8B">
            <w:pPr>
              <w:rPr>
                <w:rFonts w:ascii="Times New Roman" w:hAnsi="Times New Roman" w:cs="Times New Roman"/>
                <w:bCs/>
              </w:rPr>
            </w:pPr>
            <w:r w:rsidRPr="00955E53">
              <w:rPr>
                <w:rFonts w:ascii="Times New Roman" w:hAnsi="Times New Roman" w:cs="Times New Roman"/>
                <w:bCs/>
              </w:rPr>
              <w:t>Dopo il 1935</w:t>
            </w:r>
          </w:p>
        </w:tc>
        <w:tc>
          <w:tcPr>
            <w:tcW w:w="967"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0.20</w:t>
            </w:r>
          </w:p>
        </w:tc>
        <w:tc>
          <w:tcPr>
            <w:tcW w:w="962"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0.14</w:t>
            </w:r>
          </w:p>
        </w:tc>
        <w:tc>
          <w:tcPr>
            <w:tcW w:w="1051"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w:t>
            </w:r>
          </w:p>
        </w:tc>
      </w:tr>
      <w:tr w:rsidR="00C8424C" w:rsidRPr="00955E53" w:rsidTr="007C7D8B">
        <w:trPr>
          <w:jc w:val="center"/>
        </w:trPr>
        <w:tc>
          <w:tcPr>
            <w:tcW w:w="5438" w:type="dxa"/>
            <w:shd w:val="clear" w:color="auto" w:fill="auto"/>
          </w:tcPr>
          <w:p w:rsidR="00C8424C" w:rsidRPr="00955E53" w:rsidRDefault="00C8424C" w:rsidP="007C7D8B">
            <w:pPr>
              <w:rPr>
                <w:rFonts w:ascii="Times New Roman" w:hAnsi="Times New Roman" w:cs="Times New Roman"/>
                <w:bCs/>
              </w:rPr>
            </w:pPr>
            <w:r w:rsidRPr="00955E53">
              <w:rPr>
                <w:rFonts w:ascii="Times New Roman" w:hAnsi="Times New Roman" w:cs="Times New Roman"/>
                <w:bCs/>
              </w:rPr>
              <w:t>Dopo il 1984</w:t>
            </w:r>
          </w:p>
        </w:tc>
        <w:tc>
          <w:tcPr>
            <w:tcW w:w="967"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0.26</w:t>
            </w:r>
          </w:p>
        </w:tc>
        <w:tc>
          <w:tcPr>
            <w:tcW w:w="962"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0.19</w:t>
            </w:r>
          </w:p>
        </w:tc>
        <w:tc>
          <w:tcPr>
            <w:tcW w:w="1051"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0.11</w:t>
            </w:r>
          </w:p>
        </w:tc>
      </w:tr>
      <w:tr w:rsidR="00C8424C" w:rsidRPr="00955E53" w:rsidTr="007C7D8B">
        <w:trPr>
          <w:jc w:val="center"/>
        </w:trPr>
        <w:tc>
          <w:tcPr>
            <w:tcW w:w="5438" w:type="dxa"/>
            <w:shd w:val="clear" w:color="auto" w:fill="auto"/>
          </w:tcPr>
          <w:p w:rsidR="00C8424C" w:rsidRPr="00955E53" w:rsidRDefault="00C8424C" w:rsidP="007C7D8B">
            <w:pPr>
              <w:rPr>
                <w:rFonts w:ascii="Times New Roman" w:hAnsi="Times New Roman" w:cs="Times New Roman"/>
                <w:bCs/>
              </w:rPr>
            </w:pPr>
            <w:r w:rsidRPr="00955E53">
              <w:rPr>
                <w:rFonts w:ascii="Times New Roman" w:hAnsi="Times New Roman" w:cs="Times New Roman"/>
                <w:bCs/>
              </w:rPr>
              <w:t>Dopo il 1996</w:t>
            </w:r>
          </w:p>
        </w:tc>
        <w:tc>
          <w:tcPr>
            <w:tcW w:w="967"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0.28</w:t>
            </w:r>
          </w:p>
        </w:tc>
        <w:tc>
          <w:tcPr>
            <w:tcW w:w="962"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0.20</w:t>
            </w:r>
          </w:p>
        </w:tc>
        <w:tc>
          <w:tcPr>
            <w:tcW w:w="1051"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0.12</w:t>
            </w:r>
          </w:p>
        </w:tc>
      </w:tr>
      <w:tr w:rsidR="00C8424C" w:rsidRPr="00955E53" w:rsidTr="007C7D8B">
        <w:trPr>
          <w:jc w:val="center"/>
        </w:trPr>
        <w:tc>
          <w:tcPr>
            <w:tcW w:w="5438" w:type="dxa"/>
            <w:shd w:val="clear" w:color="auto" w:fill="auto"/>
          </w:tcPr>
          <w:p w:rsidR="00C8424C" w:rsidRPr="00955E53" w:rsidRDefault="00C8424C" w:rsidP="007C7D8B">
            <w:pPr>
              <w:rPr>
                <w:rFonts w:ascii="Times New Roman" w:hAnsi="Times New Roman" w:cs="Times New Roman"/>
                <w:bCs/>
              </w:rPr>
            </w:pPr>
            <w:r w:rsidRPr="00955E53">
              <w:rPr>
                <w:rFonts w:ascii="Times New Roman" w:hAnsi="Times New Roman" w:cs="Times New Roman"/>
                <w:bCs/>
              </w:rPr>
              <w:t>Secondo OPCM3274</w:t>
            </w:r>
          </w:p>
        </w:tc>
        <w:tc>
          <w:tcPr>
            <w:tcW w:w="967"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0.42</w:t>
            </w:r>
          </w:p>
        </w:tc>
        <w:tc>
          <w:tcPr>
            <w:tcW w:w="962"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0.30</w:t>
            </w:r>
          </w:p>
        </w:tc>
        <w:tc>
          <w:tcPr>
            <w:tcW w:w="1051" w:type="dxa"/>
            <w:shd w:val="clear" w:color="auto" w:fill="auto"/>
            <w:vAlign w:val="center"/>
          </w:tcPr>
          <w:p w:rsidR="00C8424C" w:rsidRPr="00955E53" w:rsidRDefault="00C8424C" w:rsidP="007C7D8B">
            <w:pPr>
              <w:jc w:val="center"/>
              <w:rPr>
                <w:rFonts w:ascii="Times New Roman" w:hAnsi="Times New Roman" w:cs="Times New Roman"/>
                <w:bCs/>
              </w:rPr>
            </w:pPr>
            <w:r w:rsidRPr="00955E53">
              <w:rPr>
                <w:rFonts w:ascii="Times New Roman" w:hAnsi="Times New Roman" w:cs="Times New Roman"/>
                <w:bCs/>
              </w:rPr>
              <w:t>0.18</w:t>
            </w:r>
          </w:p>
        </w:tc>
      </w:tr>
    </w:tbl>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rPr>
        <w:t>Nota: i valori in tabella derivano da una uguaglianza tra taglio resistente alla base e taglio agente alla base, nell’ipotesi di uguaglianza degli spostamenti:</w: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position w:val="-28"/>
        </w:rPr>
        <w:object w:dxaOrig="4239" w:dyaOrig="680">
          <v:shape id="_x0000_i1026" type="#_x0000_t75" style="width:212.25pt;height:33.75pt" o:ole="">
            <v:imagedata r:id="rId16" o:title=""/>
          </v:shape>
          <o:OLEObject Type="Embed" ProgID="Equation.3" ShapeID="_x0000_i1026" DrawAspect="Content" ObjectID="_1616219205" r:id="rId17"/>
        </w:objec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rPr>
        <w:t>C è il coefficiente di taglio alla base in termini di verifiche alle tensioni ammissibili, C</w:t>
      </w:r>
      <w:r w:rsidRPr="00955E53">
        <w:rPr>
          <w:rFonts w:ascii="Times New Roman" w:hAnsi="Times New Roman" w:cs="Times New Roman"/>
          <w:bCs/>
          <w:i/>
          <w:vertAlign w:val="subscript"/>
        </w:rPr>
        <w:t>Rd</w:t>
      </w:r>
      <w:r w:rsidRPr="00955E53">
        <w:rPr>
          <w:rFonts w:ascii="Times New Roman" w:hAnsi="Times New Roman" w:cs="Times New Roman"/>
          <w:bCs/>
          <w:i/>
        </w:rPr>
        <w:t xml:space="preserve"> in termini di stato limite ultimo, </w:t>
      </w:r>
      <w:r w:rsidRPr="00955E53">
        <w:rPr>
          <w:rFonts w:ascii="Times New Roman" w:hAnsi="Times New Roman" w:cs="Times New Roman"/>
          <w:bCs/>
          <w:i/>
        </w:rPr>
        <w:t xml:space="preserve"> il fattore che consente il passaggio da verifiche alle tensioni ammissibili a stato limite ultimo, </w:t>
      </w:r>
      <w:r w:rsidRPr="00955E53">
        <w:rPr>
          <w:rFonts w:ascii="Times New Roman" w:hAnsi="Times New Roman" w:cs="Times New Roman"/>
          <w:bCs/>
          <w:i/>
        </w:rPr>
        <w:t xml:space="preserve"> il coefficiente di partecipazione, </w:t>
      </w:r>
      <w:r w:rsidRPr="00955E53">
        <w:rPr>
          <w:rFonts w:ascii="Times New Roman" w:hAnsi="Times New Roman" w:cs="Times New Roman"/>
          <w:bCs/>
          <w:i/>
        </w:rPr>
        <w:t> la capacità di deformazione espressa in termini di duttilità globale, W il peso della struttura. Si ha:</w: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position w:val="-28"/>
        </w:rPr>
        <w:object w:dxaOrig="1680" w:dyaOrig="680">
          <v:shape id="_x0000_i1027" type="#_x0000_t75" style="width:84pt;height:33.75pt" o:ole="">
            <v:imagedata r:id="rId18" o:title=""/>
          </v:shape>
          <o:OLEObject Type="Embed" ProgID="Equation.3" ShapeID="_x0000_i1027" DrawAspect="Content" ObjectID="_1616219206" r:id="rId19"/>
        </w:object>
      </w:r>
    </w:p>
    <w:p w:rsidR="00C8424C" w:rsidRPr="00955E53" w:rsidRDefault="00C8424C" w:rsidP="00C8424C">
      <w:pPr>
        <w:pStyle w:val="Paragrafoelenco"/>
        <w:widowControl w:val="0"/>
        <w:spacing w:before="240"/>
        <w:jc w:val="both"/>
        <w:rPr>
          <w:rFonts w:ascii="Times New Roman" w:hAnsi="Times New Roman" w:cs="Times New Roman"/>
          <w:bCs/>
          <w:i/>
        </w:rPr>
      </w:pPr>
      <w:r w:rsidRPr="00955E53">
        <w:rPr>
          <w:rFonts w:ascii="Times New Roman" w:hAnsi="Times New Roman" w:cs="Times New Roman"/>
          <w:bCs/>
          <w:i/>
        </w:rPr>
        <w:t xml:space="preserve">Si è adottato </w:t>
      </w:r>
      <w:r w:rsidRPr="00955E53">
        <w:rPr>
          <w:rFonts w:ascii="Times New Roman" w:hAnsi="Times New Roman" w:cs="Times New Roman"/>
          <w:bCs/>
          <w:i/>
        </w:rPr>
        <w:t xml:space="preserve">=1.75, </w:t>
      </w:r>
      <w:r w:rsidRPr="00955E53">
        <w:rPr>
          <w:rFonts w:ascii="Times New Roman" w:hAnsi="Times New Roman" w:cs="Times New Roman"/>
          <w:bCs/>
          <w:i/>
        </w:rPr>
        <w:t>=0.80, F</w:t>
      </w:r>
      <w:r w:rsidRPr="00955E53">
        <w:rPr>
          <w:rFonts w:ascii="Times New Roman" w:hAnsi="Times New Roman" w:cs="Times New Roman"/>
          <w:bCs/>
          <w:i/>
          <w:vertAlign w:val="subscript"/>
        </w:rPr>
        <w:t>o</w:t>
      </w:r>
      <w:r w:rsidRPr="00955E53">
        <w:rPr>
          <w:rFonts w:ascii="Times New Roman" w:hAnsi="Times New Roman" w:cs="Times New Roman"/>
          <w:bCs/>
          <w:i/>
        </w:rPr>
        <w:t xml:space="preserve">=2.5, </w:t>
      </w:r>
      <w:r w:rsidRPr="00955E53">
        <w:rPr>
          <w:rFonts w:ascii="Times New Roman" w:hAnsi="Times New Roman" w:cs="Times New Roman"/>
          <w:bCs/>
          <w:i/>
        </w:rPr>
        <w:t>=2.0-2.2-2.3-3.0-3.2 per anni di costruzione dopo il 15-30-35-84-96 con esclusione di opcm3274 dopo la quale si assume implicitamente elevata duttilità;</w:t>
      </w:r>
    </w:p>
    <w:p w:rsidR="00C8424C" w:rsidRPr="00955E53" w:rsidRDefault="00C8424C" w:rsidP="00C8424C">
      <w:pPr>
        <w:pStyle w:val="Paragrafoelenco"/>
        <w:widowControl w:val="0"/>
        <w:ind w:left="709" w:hanging="425"/>
        <w:jc w:val="both"/>
        <w:rPr>
          <w:rFonts w:ascii="Times New Roman" w:hAnsi="Times New Roman" w:cs="Times New Roman"/>
          <w:bCs/>
        </w:rPr>
      </w:pP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c.2) nel caso di edificio adeguato sismicamente 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come nel caso c.1) assumendo come epoca di costruzione l’epoca di progettazione dell’intervento di adeguamento sismico;</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c.3) nel caso di edificio migliorato sismicamente 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 xml:space="preserve"> viene valutato come nel caso c.1) assumendo come epoca di costruzione l’epoca di progettazione dell’intervento di miglioramento sismico e riducendo i valori riportati in tabella per il livello di miglioramento raggiunto, o, convenzionalmente, per 0.6 nel caso non sia disponibile il dato;</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c.4) edifici progettati sismicamente prima del 1996 con telai o pareti in una sola direzione si considerano come progettati ai soli carichi verticali (punto c.5);</w:t>
      </w:r>
    </w:p>
    <w:p w:rsidR="00C8424C" w:rsidRPr="00955E53" w:rsidRDefault="00C8424C" w:rsidP="00C8424C">
      <w:pPr>
        <w:pStyle w:val="Paragrafoelenco"/>
        <w:widowControl w:val="0"/>
        <w:spacing w:before="240"/>
        <w:ind w:left="709" w:hanging="425"/>
        <w:jc w:val="both"/>
        <w:rPr>
          <w:rFonts w:ascii="Times New Roman" w:hAnsi="Times New Roman" w:cs="Times New Roman"/>
          <w:bCs/>
        </w:rPr>
      </w:pPr>
      <w:r w:rsidRPr="00955E53">
        <w:rPr>
          <w:rFonts w:ascii="Times New Roman" w:hAnsi="Times New Roman" w:cs="Times New Roman"/>
          <w:bCs/>
        </w:rPr>
        <w:t>c.5) nel caso di edifici progettati prima dell’entrata in vigore della classificazione e normativa sismica o in zone non classificate all’epoca della costruzione, anche nel caso di successivi interventi di rafforzamento che non rientrano nelle fattispecie dell’adeguamento o miglioramento sismico, I</w:t>
      </w:r>
      <w:r w:rsidRPr="00955E53">
        <w:rPr>
          <w:rFonts w:ascii="Times New Roman" w:hAnsi="Times New Roman" w:cs="Times New Roman"/>
          <w:bCs/>
          <w:vertAlign w:val="subscript"/>
        </w:rPr>
        <w:t>R</w:t>
      </w:r>
      <w:r w:rsidRPr="00955E53">
        <w:rPr>
          <w:rFonts w:ascii="Times New Roman" w:hAnsi="Times New Roman" w:cs="Times New Roman"/>
          <w:bCs/>
        </w:rPr>
        <w:t xml:space="preserve"> viene determinato a partire dalle caratteristiche tipologiche dell’edificio:</w:t>
      </w: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 xml:space="preserve"> </w:t>
      </w:r>
      <w:r w:rsidRPr="00955E53">
        <w:rPr>
          <w:rFonts w:ascii="Times New Roman" w:hAnsi="Times New Roman" w:cs="Times New Roman"/>
          <w:bCs/>
        </w:rPr>
        <w:tab/>
      </w:r>
      <w:r w:rsidRPr="00955E53">
        <w:rPr>
          <w:rFonts w:ascii="Times New Roman" w:hAnsi="Times New Roman" w:cs="Times New Roman"/>
          <w:i/>
        </w:rPr>
        <w:t>Tabella 2: valori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i/>
        </w:rPr>
        <w:t>/g per edifici in muratura o misti progettati prima dell’entrata in vigore della classificazione e normativa sismica o in zone non classificate all’epoca della costruzione</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953"/>
        <w:gridCol w:w="1134"/>
      </w:tblGrid>
      <w:tr w:rsidR="00C8424C" w:rsidRPr="00955E53" w:rsidTr="007C7D8B">
        <w:trPr>
          <w:jc w:val="center"/>
        </w:trPr>
        <w:tc>
          <w:tcPr>
            <w:tcW w:w="3284" w:type="dxa"/>
            <w:shd w:val="clear" w:color="auto" w:fill="auto"/>
          </w:tcPr>
          <w:p w:rsidR="00C8424C" w:rsidRPr="00955E53" w:rsidRDefault="00C8424C" w:rsidP="007C7D8B">
            <w:pPr>
              <w:pStyle w:val="Paragrafoelenco"/>
              <w:widowControl w:val="0"/>
              <w:spacing w:before="240"/>
              <w:ind w:left="0"/>
              <w:rPr>
                <w:rFonts w:ascii="Times New Roman" w:hAnsi="Times New Roman" w:cs="Times New Roman"/>
                <w:bCs/>
              </w:rPr>
            </w:pPr>
            <w:r w:rsidRPr="00955E53">
              <w:rPr>
                <w:rFonts w:ascii="Times New Roman" w:hAnsi="Times New Roman" w:cs="Times New Roman"/>
                <w:bCs/>
              </w:rPr>
              <w:t>Strutture verticali</w:t>
            </w:r>
          </w:p>
        </w:tc>
        <w:tc>
          <w:tcPr>
            <w:tcW w:w="2953" w:type="dxa"/>
            <w:shd w:val="clear" w:color="auto" w:fill="auto"/>
          </w:tcPr>
          <w:p w:rsidR="00C8424C" w:rsidRPr="00955E53" w:rsidRDefault="00C8424C" w:rsidP="007C7D8B">
            <w:pPr>
              <w:pStyle w:val="Paragrafoelenco"/>
              <w:widowControl w:val="0"/>
              <w:spacing w:before="240"/>
              <w:ind w:left="0"/>
              <w:rPr>
                <w:rFonts w:ascii="Times New Roman" w:hAnsi="Times New Roman" w:cs="Times New Roman"/>
                <w:bCs/>
              </w:rPr>
            </w:pPr>
            <w:r w:rsidRPr="00955E53">
              <w:rPr>
                <w:rFonts w:ascii="Times New Roman" w:hAnsi="Times New Roman" w:cs="Times New Roman"/>
                <w:bCs/>
              </w:rPr>
              <w:t>Strutture orizzontali</w:t>
            </w:r>
          </w:p>
        </w:tc>
        <w:tc>
          <w:tcPr>
            <w:tcW w:w="1134" w:type="dxa"/>
            <w:shd w:val="clear" w:color="auto" w:fill="auto"/>
          </w:tcPr>
          <w:p w:rsidR="00C8424C" w:rsidRPr="00955E53" w:rsidRDefault="00C8424C" w:rsidP="007C7D8B">
            <w:pPr>
              <w:pStyle w:val="Paragrafoelenco"/>
              <w:widowControl w:val="0"/>
              <w:spacing w:before="240"/>
              <w:ind w:left="0"/>
              <w:jc w:val="center"/>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/g</w:t>
            </w:r>
          </w:p>
        </w:tc>
      </w:tr>
      <w:tr w:rsidR="00C8424C" w:rsidRPr="00955E53" w:rsidTr="007C7D8B">
        <w:trPr>
          <w:jc w:val="center"/>
        </w:trPr>
        <w:tc>
          <w:tcPr>
            <w:tcW w:w="328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lastRenderedPageBreak/>
              <w:t>Muratura di scarsa qualita (Pietra arrotondata, a sacco, non rinforzata)</w:t>
            </w:r>
          </w:p>
        </w:tc>
        <w:tc>
          <w:tcPr>
            <w:tcW w:w="2953"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qualsiasi</w:t>
            </w:r>
          </w:p>
        </w:tc>
        <w:tc>
          <w:tcPr>
            <w:tcW w:w="1134"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0.06</w:t>
            </w:r>
          </w:p>
        </w:tc>
      </w:tr>
      <w:tr w:rsidR="00C8424C" w:rsidRPr="00955E53" w:rsidTr="007C7D8B">
        <w:trPr>
          <w:trHeight w:val="356"/>
          <w:jc w:val="center"/>
        </w:trPr>
        <w:tc>
          <w:tcPr>
            <w:tcW w:w="3284" w:type="dxa"/>
            <w:vMerge w:val="restart"/>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Muratura di media qualità (Pietra semi squadrata, con listature, collegata nello spessore, muratura rinforzata con iniezioni di malta)</w:t>
            </w:r>
          </w:p>
        </w:tc>
        <w:tc>
          <w:tcPr>
            <w:tcW w:w="2953"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Flessibili</w:t>
            </w:r>
          </w:p>
        </w:tc>
        <w:tc>
          <w:tcPr>
            <w:tcW w:w="1134"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0.08</w:t>
            </w:r>
          </w:p>
        </w:tc>
      </w:tr>
      <w:tr w:rsidR="00C8424C" w:rsidRPr="00955E53" w:rsidTr="007C7D8B">
        <w:trPr>
          <w:trHeight w:val="355"/>
          <w:jc w:val="center"/>
        </w:trPr>
        <w:tc>
          <w:tcPr>
            <w:tcW w:w="3284" w:type="dxa"/>
            <w:vMerge/>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Semirigidi</w:t>
            </w:r>
          </w:p>
        </w:tc>
        <w:tc>
          <w:tcPr>
            <w:tcW w:w="1134"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0.10</w:t>
            </w:r>
          </w:p>
        </w:tc>
      </w:tr>
      <w:tr w:rsidR="00C8424C" w:rsidRPr="00955E53" w:rsidTr="007C7D8B">
        <w:trPr>
          <w:trHeight w:val="355"/>
          <w:jc w:val="center"/>
        </w:trPr>
        <w:tc>
          <w:tcPr>
            <w:tcW w:w="3284" w:type="dxa"/>
            <w:vMerge/>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Rigidi</w:t>
            </w:r>
          </w:p>
        </w:tc>
        <w:tc>
          <w:tcPr>
            <w:tcW w:w="1134"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0.11</w:t>
            </w:r>
          </w:p>
        </w:tc>
      </w:tr>
      <w:tr w:rsidR="00C8424C" w:rsidRPr="00955E53" w:rsidTr="007C7D8B">
        <w:trPr>
          <w:trHeight w:val="356"/>
          <w:jc w:val="center"/>
        </w:trPr>
        <w:tc>
          <w:tcPr>
            <w:tcW w:w="3284" w:type="dxa"/>
            <w:vMerge w:val="restart"/>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Muratura di buona qualità (pietrame squadrato, mattoni apparecchiati nello spessore, muratura rinforzata con betoncino armato, CAM, ecc)</w:t>
            </w:r>
          </w:p>
        </w:tc>
        <w:tc>
          <w:tcPr>
            <w:tcW w:w="2953"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Flessibili</w:t>
            </w:r>
          </w:p>
        </w:tc>
        <w:tc>
          <w:tcPr>
            <w:tcW w:w="1134"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0.12</w:t>
            </w:r>
          </w:p>
        </w:tc>
      </w:tr>
      <w:tr w:rsidR="00C8424C" w:rsidRPr="00955E53" w:rsidTr="007C7D8B">
        <w:trPr>
          <w:trHeight w:val="355"/>
          <w:jc w:val="center"/>
        </w:trPr>
        <w:tc>
          <w:tcPr>
            <w:tcW w:w="3284" w:type="dxa"/>
            <w:vMerge/>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Semirigidi</w:t>
            </w:r>
          </w:p>
        </w:tc>
        <w:tc>
          <w:tcPr>
            <w:tcW w:w="1134"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0.13</w:t>
            </w:r>
          </w:p>
        </w:tc>
      </w:tr>
      <w:tr w:rsidR="00C8424C" w:rsidRPr="00955E53" w:rsidTr="007C7D8B">
        <w:trPr>
          <w:trHeight w:val="355"/>
          <w:jc w:val="center"/>
        </w:trPr>
        <w:tc>
          <w:tcPr>
            <w:tcW w:w="3284" w:type="dxa"/>
            <w:vMerge/>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p>
        </w:tc>
        <w:tc>
          <w:tcPr>
            <w:tcW w:w="2953"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Rigidi</w:t>
            </w:r>
          </w:p>
        </w:tc>
        <w:tc>
          <w:tcPr>
            <w:tcW w:w="1134"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0.14</w:t>
            </w:r>
          </w:p>
        </w:tc>
      </w:tr>
    </w:tbl>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In tutti i casi, la presenza sistematica di catene, tiranti o cordoli implica un aumento del 20% dei valori riportati in tabella.</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Per la definizione del tipo di muratura e di orizzontamento si può far riferimento a quanto contenuto nel manuale di compilazione della scheda Aedes.</w:t>
      </w:r>
    </w:p>
    <w:p w:rsidR="00C8424C" w:rsidRPr="00955E53" w:rsidRDefault="00C8424C" w:rsidP="00C8424C">
      <w:pPr>
        <w:pStyle w:val="Paragrafoelenco"/>
        <w:widowControl w:val="0"/>
        <w:ind w:left="0"/>
        <w:jc w:val="both"/>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ab/>
      </w:r>
      <w:r w:rsidRPr="00955E53">
        <w:rPr>
          <w:rFonts w:ascii="Times New Roman" w:hAnsi="Times New Roman" w:cs="Times New Roman"/>
          <w:i/>
        </w:rPr>
        <w:t>Tabella 3: valori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i/>
        </w:rPr>
        <w:t>/g per edifici in cemento armato o acciaio progettati prima dell’entrata in vigore della classificazione e normativa sismica o in zone non classificate all’epoca della costruzione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75"/>
      </w:tblGrid>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verticali</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a</w:t>
            </w:r>
            <w:r w:rsidRPr="00955E53">
              <w:rPr>
                <w:rFonts w:ascii="Times New Roman" w:hAnsi="Times New Roman" w:cs="Times New Roman"/>
                <w:bCs/>
                <w:vertAlign w:val="subscript"/>
              </w:rPr>
              <w:t>g,c</w:t>
            </w:r>
            <w:r w:rsidRPr="00955E53">
              <w:rPr>
                <w:rFonts w:ascii="Times New Roman" w:hAnsi="Times New Roman" w:cs="Times New Roman"/>
                <w:bCs/>
              </w:rPr>
              <w:t>S</w:t>
            </w:r>
            <w:r w:rsidRPr="00955E53">
              <w:rPr>
                <w:rFonts w:ascii="Times New Roman" w:hAnsi="Times New Roman" w:cs="Times New Roman"/>
                <w:bCs/>
                <w:vertAlign w:val="subscript"/>
              </w:rPr>
              <w:t>c</w:t>
            </w:r>
            <w:r w:rsidRPr="00955E53">
              <w:rPr>
                <w:rFonts w:ascii="Times New Roman" w:hAnsi="Times New Roman" w:cs="Times New Roman"/>
                <w:bCs/>
              </w:rPr>
              <w:t>/g</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a telaio in una sola direzione</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0.06</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con pareti/nuclei/controventi in una sola direzione</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0.06</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a telaio in due direzioni</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0.10</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Strutture con pareti/nuclei/controventi in due direzioni</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0.14</w:t>
            </w:r>
          </w:p>
        </w:tc>
      </w:tr>
    </w:tbl>
    <w:p w:rsidR="00C8424C" w:rsidRPr="00955E53" w:rsidRDefault="00C8424C" w:rsidP="00C8424C">
      <w:pPr>
        <w:pStyle w:val="Paragrafoelenco"/>
        <w:widowControl w:val="0"/>
        <w:spacing w:before="240"/>
        <w:ind w:left="0"/>
        <w:rPr>
          <w:rFonts w:ascii="Times New Roman" w:hAnsi="Times New Roman" w:cs="Times New Roman"/>
          <w:bCs/>
        </w:rPr>
      </w:pPr>
    </w:p>
    <w:p w:rsidR="00C8424C" w:rsidRPr="00955E53" w:rsidRDefault="00C8424C" w:rsidP="00C8424C">
      <w:pPr>
        <w:pStyle w:val="Paragrafoelenco"/>
        <w:widowControl w:val="0"/>
        <w:numPr>
          <w:ilvl w:val="0"/>
          <w:numId w:val="22"/>
        </w:numPr>
        <w:spacing w:before="240" w:after="0" w:line="240" w:lineRule="auto"/>
        <w:contextualSpacing w:val="0"/>
        <w:jc w:val="both"/>
        <w:rPr>
          <w:rFonts w:ascii="Times New Roman" w:hAnsi="Times New Roman" w:cs="Times New Roman"/>
          <w:bCs/>
        </w:rPr>
      </w:pPr>
      <w:r w:rsidRPr="00955E53">
        <w:rPr>
          <w:rFonts w:ascii="Times New Roman" w:hAnsi="Times New Roman" w:cs="Times New Roman"/>
          <w:bCs/>
        </w:rPr>
        <w:t>Carenze strutturali per edifici del caso c)</w:t>
      </w:r>
    </w:p>
    <w:p w:rsidR="00C8424C" w:rsidRPr="00955E53" w:rsidRDefault="00C8424C" w:rsidP="00C8424C">
      <w:pPr>
        <w:pStyle w:val="Paragrafoelenco"/>
        <w:widowControl w:val="0"/>
        <w:spacing w:before="240"/>
        <w:jc w:val="both"/>
        <w:rPr>
          <w:rFonts w:ascii="Times New Roman" w:hAnsi="Times New Roman" w:cs="Times New Roman"/>
          <w:bCs/>
        </w:rPr>
      </w:pPr>
      <w:r w:rsidRPr="00955E53">
        <w:rPr>
          <w:rFonts w:ascii="Times New Roman" w:hAnsi="Times New Roman" w:cs="Times New Roman"/>
          <w:bCs/>
        </w:rPr>
        <w:t>Per edifici non progettati sismicamente o progettati sismicamente fino al DM96 compreso nel caso di presenza di carenze strutturali gravi i valori di capacità riportati al punto c) vengono ridotti come descritto nel seguito:</w:t>
      </w:r>
    </w:p>
    <w:p w:rsidR="00C8424C" w:rsidRPr="00955E53" w:rsidRDefault="00C8424C" w:rsidP="00C8424C">
      <w:pPr>
        <w:pStyle w:val="Paragrafoelenco"/>
        <w:widowControl w:val="0"/>
        <w:jc w:val="both"/>
        <w:rPr>
          <w:rFonts w:ascii="Times New Roman" w:hAnsi="Times New Roman" w:cs="Times New Roman"/>
          <w:bCs/>
        </w:rPr>
      </w:pPr>
    </w:p>
    <w:p w:rsidR="00C8424C" w:rsidRPr="00955E53" w:rsidRDefault="00C8424C" w:rsidP="00C8424C">
      <w:pPr>
        <w:pStyle w:val="Paragrafoelenco"/>
        <w:widowControl w:val="0"/>
        <w:spacing w:before="240"/>
        <w:ind w:left="0"/>
        <w:jc w:val="both"/>
        <w:rPr>
          <w:rFonts w:ascii="Times New Roman" w:hAnsi="Times New Roman" w:cs="Times New Roman"/>
          <w:bCs/>
        </w:rPr>
      </w:pPr>
      <w:r w:rsidRPr="00955E53">
        <w:rPr>
          <w:rFonts w:ascii="Times New Roman" w:hAnsi="Times New Roman" w:cs="Times New Roman"/>
          <w:bCs/>
        </w:rPr>
        <w:tab/>
      </w:r>
      <w:r w:rsidRPr="00955E53">
        <w:rPr>
          <w:rFonts w:ascii="Times New Roman" w:hAnsi="Times New Roman" w:cs="Times New Roman"/>
          <w:i/>
        </w:rPr>
        <w:t>Tabella 4: Fattori riduttivi di a</w:t>
      </w:r>
      <w:r w:rsidRPr="00955E53">
        <w:rPr>
          <w:rFonts w:ascii="Times New Roman" w:hAnsi="Times New Roman" w:cs="Times New Roman"/>
          <w:i/>
          <w:vertAlign w:val="subscript"/>
        </w:rPr>
        <w:t>g,c</w:t>
      </w:r>
      <w:r w:rsidRPr="00955E53">
        <w:rPr>
          <w:rFonts w:ascii="Times New Roman" w:hAnsi="Times New Roman" w:cs="Times New Roman"/>
          <w:i/>
        </w:rPr>
        <w:t>S</w:t>
      </w:r>
      <w:r w:rsidRPr="00955E53">
        <w:rPr>
          <w:rFonts w:ascii="Times New Roman" w:hAnsi="Times New Roman" w:cs="Times New Roman"/>
          <w:i/>
          <w:vertAlign w:val="subscript"/>
        </w:rPr>
        <w:t>c</w:t>
      </w:r>
      <w:r w:rsidRPr="00955E53">
        <w:rPr>
          <w:rFonts w:ascii="Times New Roman" w:hAnsi="Times New Roman" w:cs="Times New Roman"/>
          <w:i/>
        </w:rPr>
        <w:t xml:space="preserve"> per edifici non sismicamente progettati o progettati sismicamente fino al DM96 compreso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75"/>
      </w:tblGrid>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Carenze</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Fattore riduttivo</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Edifici in cemento armato o acciaio</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Presenza di pilastri corti</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Distribuzione irregolare di tamponature rigide e resistenti</w:t>
            </w:r>
            <w:r w:rsidRPr="00955E53">
              <w:rPr>
                <w:rFonts w:ascii="Times New Roman" w:hAnsi="Times New Roman" w:cs="Times New Roman"/>
              </w:rPr>
              <w:t xml:space="preserve"> t</w:t>
            </w:r>
            <w:r w:rsidRPr="00955E53">
              <w:rPr>
                <w:rFonts w:ascii="Times New Roman" w:hAnsi="Times New Roman" w:cs="Times New Roman"/>
                <w:bCs/>
              </w:rPr>
              <w:t xml:space="preserve">ali da determinare concentrazioni </w:t>
            </w:r>
            <w:r w:rsidRPr="00955E53">
              <w:rPr>
                <w:rFonts w:ascii="Times New Roman" w:hAnsi="Times New Roman" w:cs="Times New Roman"/>
                <w:bCs/>
              </w:rPr>
              <w:lastRenderedPageBreak/>
              <w:t>di domanda di deformazione in singoli piani o in parti in pianta della costruzione (ad es. piano pilotis, tamponature solo su un lato o due lati consecutivi, etc.)</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lastRenderedPageBreak/>
              <w:t>0.80</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lastRenderedPageBreak/>
              <w:t>Irregolarità di forma in pianta o in altezza</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ind w:left="0"/>
              <w:rPr>
                <w:rFonts w:ascii="Times New Roman" w:hAnsi="Times New Roman" w:cs="Times New Roman"/>
                <w:bCs/>
              </w:rPr>
            </w:pPr>
          </w:p>
        </w:tc>
        <w:tc>
          <w:tcPr>
            <w:tcW w:w="2175" w:type="dxa"/>
            <w:shd w:val="clear" w:color="auto" w:fill="auto"/>
          </w:tcPr>
          <w:p w:rsidR="00C8424C" w:rsidRPr="00955E53" w:rsidRDefault="00C8424C" w:rsidP="007C7D8B">
            <w:pPr>
              <w:pStyle w:val="Paragrafoelenco"/>
              <w:widowControl w:val="0"/>
              <w:ind w:left="0"/>
              <w:jc w:val="center"/>
              <w:rPr>
                <w:rFonts w:ascii="Times New Roman" w:hAnsi="Times New Roman" w:cs="Times New Roman"/>
                <w:bCs/>
              </w:rPr>
            </w:pP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Edifici in muratura o misti</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Presenza di aperture vicine agli spigoli, aperture non allineate in verticale, canne fumarie nello spessore della muratura, nicchie frequenti</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Presenza di tetti spingenti e/o molto pesanti</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r w:rsidR="00C8424C" w:rsidRPr="00955E53" w:rsidTr="007C7D8B">
        <w:trPr>
          <w:jc w:val="center"/>
        </w:trPr>
        <w:tc>
          <w:tcPr>
            <w:tcW w:w="4394" w:type="dxa"/>
            <w:shd w:val="clear" w:color="auto" w:fill="auto"/>
          </w:tcPr>
          <w:p w:rsidR="00C8424C" w:rsidRPr="00955E53" w:rsidRDefault="00C8424C" w:rsidP="007C7D8B">
            <w:pPr>
              <w:pStyle w:val="Paragrafoelenco"/>
              <w:widowControl w:val="0"/>
              <w:spacing w:before="120"/>
              <w:ind w:left="0"/>
              <w:rPr>
                <w:rFonts w:ascii="Times New Roman" w:hAnsi="Times New Roman" w:cs="Times New Roman"/>
                <w:bCs/>
              </w:rPr>
            </w:pPr>
            <w:r w:rsidRPr="00955E53">
              <w:rPr>
                <w:rFonts w:ascii="Times New Roman" w:hAnsi="Times New Roman" w:cs="Times New Roman"/>
                <w:bCs/>
              </w:rPr>
              <w:t>Malta degradata</w:t>
            </w:r>
          </w:p>
        </w:tc>
        <w:tc>
          <w:tcPr>
            <w:tcW w:w="2175" w:type="dxa"/>
            <w:shd w:val="clear" w:color="auto" w:fill="auto"/>
          </w:tcPr>
          <w:p w:rsidR="00C8424C" w:rsidRPr="00955E53" w:rsidRDefault="00C8424C" w:rsidP="007C7D8B">
            <w:pPr>
              <w:pStyle w:val="Paragrafoelenco"/>
              <w:widowControl w:val="0"/>
              <w:spacing w:before="120"/>
              <w:ind w:left="0"/>
              <w:jc w:val="center"/>
              <w:rPr>
                <w:rFonts w:ascii="Times New Roman" w:hAnsi="Times New Roman" w:cs="Times New Roman"/>
                <w:bCs/>
              </w:rPr>
            </w:pPr>
            <w:r w:rsidRPr="00955E53">
              <w:rPr>
                <w:rFonts w:ascii="Times New Roman" w:hAnsi="Times New Roman" w:cs="Times New Roman"/>
                <w:bCs/>
              </w:rPr>
              <w:t>0.80</w:t>
            </w:r>
          </w:p>
        </w:tc>
      </w:tr>
    </w:tbl>
    <w:p w:rsidR="00C8424C" w:rsidRPr="00955E53" w:rsidRDefault="00C8424C" w:rsidP="00C8424C">
      <w:pPr>
        <w:pStyle w:val="Paragrafoelenco"/>
        <w:widowControl w:val="0"/>
        <w:spacing w:before="240"/>
        <w:ind w:left="0"/>
        <w:rPr>
          <w:rFonts w:ascii="Times New Roman" w:hAnsi="Times New Roman" w:cs="Times New Roman"/>
        </w:rPr>
      </w:pPr>
      <w:r w:rsidRPr="00955E53">
        <w:rPr>
          <w:rFonts w:ascii="Times New Roman" w:hAnsi="Times New Roman" w:cs="Times New Roman"/>
          <w:bCs/>
        </w:rPr>
        <w:t>Nel caso di compresenza di più carenze strutturali si considereranno tutti i fattori correttivi corrispondenti.</w:t>
      </w:r>
    </w:p>
    <w:p w:rsidR="007C7D8B" w:rsidRDefault="007C7D8B"/>
    <w:sectPr w:rsidR="007C7D8B">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A6" w:rsidRDefault="00F528A6" w:rsidP="00C66450">
      <w:pPr>
        <w:spacing w:after="0" w:line="240" w:lineRule="auto"/>
      </w:pPr>
      <w:r>
        <w:separator/>
      </w:r>
    </w:p>
  </w:endnote>
  <w:endnote w:type="continuationSeparator" w:id="0">
    <w:p w:rsidR="00F528A6" w:rsidRDefault="00F528A6" w:rsidP="00C6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panose1 w:val="05010000000000000000"/>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770076"/>
      <w:docPartObj>
        <w:docPartGallery w:val="Page Numbers (Bottom of Page)"/>
        <w:docPartUnique/>
      </w:docPartObj>
    </w:sdtPr>
    <w:sdtEndPr/>
    <w:sdtContent>
      <w:p w:rsidR="007C7D8B" w:rsidRDefault="007C7D8B">
        <w:pPr>
          <w:pStyle w:val="Pidipagina"/>
          <w:jc w:val="center"/>
        </w:pPr>
        <w:r>
          <w:fldChar w:fldCharType="begin"/>
        </w:r>
        <w:r>
          <w:instrText>PAGE   \* MERGEFORMAT</w:instrText>
        </w:r>
        <w:r>
          <w:fldChar w:fldCharType="separate"/>
        </w:r>
        <w:r w:rsidR="00940FAD">
          <w:t>2</w:t>
        </w:r>
        <w:r>
          <w:fldChar w:fldCharType="end"/>
        </w:r>
        <w:r>
          <w:t>/</w:t>
        </w:r>
        <w:r w:rsidR="00F528A6">
          <w:fldChar w:fldCharType="begin"/>
        </w:r>
        <w:r w:rsidR="00F528A6">
          <w:instrText xml:space="preserve"> NUMPAGES   \* MERGEFORMAT </w:instrText>
        </w:r>
        <w:r w:rsidR="00F528A6">
          <w:fldChar w:fldCharType="separate"/>
        </w:r>
        <w:r w:rsidR="00940FAD">
          <w:t>13</w:t>
        </w:r>
        <w:r w:rsidR="00F528A6">
          <w:fldChar w:fldCharType="end"/>
        </w:r>
      </w:p>
    </w:sdtContent>
  </w:sdt>
  <w:p w:rsidR="007C7D8B" w:rsidRDefault="007C7D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A6" w:rsidRDefault="00F528A6" w:rsidP="00C66450">
      <w:pPr>
        <w:spacing w:after="0" w:line="240" w:lineRule="auto"/>
      </w:pPr>
      <w:r>
        <w:separator/>
      </w:r>
    </w:p>
  </w:footnote>
  <w:footnote w:type="continuationSeparator" w:id="0">
    <w:p w:rsidR="00F528A6" w:rsidRDefault="00F528A6" w:rsidP="00C66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682C"/>
    <w:multiLevelType w:val="hybridMultilevel"/>
    <w:tmpl w:val="584EFE6C"/>
    <w:lvl w:ilvl="0" w:tplc="303E3894">
      <w:start w:val="1"/>
      <w:numFmt w:val="decimal"/>
      <w:lvlText w:val="%1."/>
      <w:lvlJc w:val="left"/>
      <w:pPr>
        <w:ind w:left="720" w:hanging="360"/>
      </w:pPr>
      <w:rPr>
        <w:rFonts w:ascii="helve" w:hAnsi="helve" w:cs="Calibri" w:hint="default"/>
        <w:b w:val="0"/>
        <w:i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FA3D15"/>
    <w:multiLevelType w:val="multilevel"/>
    <w:tmpl w:val="B3D6B81A"/>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
    <w:nsid w:val="1ECF2522"/>
    <w:multiLevelType w:val="hybridMultilevel"/>
    <w:tmpl w:val="9236B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A15CC6"/>
    <w:multiLevelType w:val="multilevel"/>
    <w:tmpl w:val="0410001F"/>
    <w:lvl w:ilvl="0">
      <w:start w:val="1"/>
      <w:numFmt w:val="decimal"/>
      <w:lvlText w:val="%1."/>
      <w:lvlJc w:val="left"/>
      <w:pPr>
        <w:tabs>
          <w:tab w:val="num" w:pos="2160"/>
        </w:tabs>
        <w:ind w:left="2160" w:hanging="360"/>
      </w:pPr>
      <w:rPr>
        <w:rFonts w:cs="Times New Roman"/>
      </w:rPr>
    </w:lvl>
    <w:lvl w:ilvl="1">
      <w:start w:val="1"/>
      <w:numFmt w:val="decimal"/>
      <w:lvlText w:val="%1.%2."/>
      <w:lvlJc w:val="left"/>
      <w:pPr>
        <w:tabs>
          <w:tab w:val="num" w:pos="2592"/>
        </w:tabs>
        <w:ind w:left="2592" w:hanging="432"/>
      </w:pPr>
      <w:rPr>
        <w:rFonts w:cs="Times New Roman"/>
      </w:rPr>
    </w:lvl>
    <w:lvl w:ilvl="2">
      <w:start w:val="1"/>
      <w:numFmt w:val="decimal"/>
      <w:lvlText w:val="%1.%2.%3."/>
      <w:lvlJc w:val="left"/>
      <w:pPr>
        <w:tabs>
          <w:tab w:val="num" w:pos="3240"/>
        </w:tabs>
        <w:ind w:left="3024" w:hanging="504"/>
      </w:pPr>
      <w:rPr>
        <w:rFonts w:cs="Times New Roman"/>
      </w:rPr>
    </w:lvl>
    <w:lvl w:ilvl="3">
      <w:start w:val="1"/>
      <w:numFmt w:val="decimal"/>
      <w:lvlText w:val="%1.%2.%3.%4."/>
      <w:lvlJc w:val="left"/>
      <w:pPr>
        <w:tabs>
          <w:tab w:val="num" w:pos="3600"/>
        </w:tabs>
        <w:ind w:left="3528" w:hanging="648"/>
      </w:pPr>
      <w:rPr>
        <w:rFonts w:cs="Times New Roman"/>
      </w:rPr>
    </w:lvl>
    <w:lvl w:ilvl="4">
      <w:start w:val="1"/>
      <w:numFmt w:val="decimal"/>
      <w:lvlText w:val="%1.%2.%3.%4.%5."/>
      <w:lvlJc w:val="left"/>
      <w:pPr>
        <w:tabs>
          <w:tab w:val="num" w:pos="4320"/>
        </w:tabs>
        <w:ind w:left="4032" w:hanging="792"/>
      </w:pPr>
      <w:rPr>
        <w:rFonts w:cs="Times New Roman"/>
      </w:rPr>
    </w:lvl>
    <w:lvl w:ilvl="5">
      <w:start w:val="1"/>
      <w:numFmt w:val="decimal"/>
      <w:lvlText w:val="%1.%2.%3.%4.%5.%6."/>
      <w:lvlJc w:val="left"/>
      <w:pPr>
        <w:tabs>
          <w:tab w:val="num" w:pos="4680"/>
        </w:tabs>
        <w:ind w:left="4536" w:hanging="936"/>
      </w:pPr>
      <w:rPr>
        <w:rFonts w:cs="Times New Roman"/>
      </w:rPr>
    </w:lvl>
    <w:lvl w:ilvl="6">
      <w:start w:val="1"/>
      <w:numFmt w:val="decimal"/>
      <w:lvlText w:val="%1.%2.%3.%4.%5.%6.%7."/>
      <w:lvlJc w:val="left"/>
      <w:pPr>
        <w:tabs>
          <w:tab w:val="num" w:pos="5400"/>
        </w:tabs>
        <w:ind w:left="5040" w:hanging="1080"/>
      </w:pPr>
      <w:rPr>
        <w:rFonts w:cs="Times New Roman"/>
      </w:rPr>
    </w:lvl>
    <w:lvl w:ilvl="7">
      <w:start w:val="1"/>
      <w:numFmt w:val="decimal"/>
      <w:lvlText w:val="%1.%2.%3.%4.%5.%6.%7.%8."/>
      <w:lvlJc w:val="left"/>
      <w:pPr>
        <w:tabs>
          <w:tab w:val="num" w:pos="5760"/>
        </w:tabs>
        <w:ind w:left="5544" w:hanging="1224"/>
      </w:pPr>
      <w:rPr>
        <w:rFonts w:cs="Times New Roman"/>
      </w:rPr>
    </w:lvl>
    <w:lvl w:ilvl="8">
      <w:start w:val="1"/>
      <w:numFmt w:val="decimal"/>
      <w:lvlText w:val="%1.%2.%3.%4.%5.%6.%7.%8.%9."/>
      <w:lvlJc w:val="left"/>
      <w:pPr>
        <w:tabs>
          <w:tab w:val="num" w:pos="6480"/>
        </w:tabs>
        <w:ind w:left="6120" w:hanging="1440"/>
      </w:pPr>
      <w:rPr>
        <w:rFonts w:cs="Times New Roman"/>
      </w:rPr>
    </w:lvl>
  </w:abstractNum>
  <w:abstractNum w:abstractNumId="4">
    <w:nsid w:val="21CB2755"/>
    <w:multiLevelType w:val="multilevel"/>
    <w:tmpl w:val="1E74985A"/>
    <w:lvl w:ilvl="0">
      <w:start w:val="1"/>
      <w:numFmt w:val="upperLetter"/>
      <w:lvlText w:val="%1."/>
      <w:lvlJc w:val="left"/>
      <w:pPr>
        <w:ind w:left="786" w:hanging="360"/>
      </w:pPr>
      <w:rPr>
        <w:rFonts w:cs="Times New Roman"/>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
    <w:nsid w:val="2F1F6522"/>
    <w:multiLevelType w:val="multilevel"/>
    <w:tmpl w:val="721E89E6"/>
    <w:lvl w:ilvl="0">
      <w:start w:val="1"/>
      <w:numFmt w:val="decimal"/>
      <w:lvlText w:val="%1."/>
      <w:lvlJc w:val="left"/>
      <w:pPr>
        <w:tabs>
          <w:tab w:val="num" w:pos="1800"/>
        </w:tabs>
        <w:ind w:left="1800" w:hanging="360"/>
      </w:pPr>
      <w:rPr>
        <w:rFonts w:cs="Times New Roman" w:hint="default"/>
      </w:rPr>
    </w:lvl>
    <w:lvl w:ilvl="1">
      <w:start w:val="1"/>
      <w:numFmt w:val="bullet"/>
      <w:lvlText w:val="◦"/>
      <w:lvlJc w:val="left"/>
      <w:pPr>
        <w:tabs>
          <w:tab w:val="num" w:pos="2160"/>
        </w:tabs>
        <w:ind w:left="2160" w:hanging="360"/>
      </w:pPr>
      <w:rPr>
        <w:rFonts w:ascii="OpenSymbol" w:hAnsi="OpenSymbol" w:hint="default"/>
      </w:rPr>
    </w:lvl>
    <w:lvl w:ilvl="2">
      <w:start w:val="1"/>
      <w:numFmt w:val="bullet"/>
      <w:lvlText w:val="▪"/>
      <w:lvlJc w:val="left"/>
      <w:pPr>
        <w:tabs>
          <w:tab w:val="num" w:pos="2520"/>
        </w:tabs>
        <w:ind w:left="2520" w:hanging="360"/>
      </w:pPr>
      <w:rPr>
        <w:rFonts w:ascii="OpenSymbol" w:hAnsi="Open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OpenSymbol" w:hAnsi="OpenSymbol" w:hint="default"/>
      </w:rPr>
    </w:lvl>
    <w:lvl w:ilvl="5">
      <w:start w:val="1"/>
      <w:numFmt w:val="bullet"/>
      <w:lvlText w:val="▪"/>
      <w:lvlJc w:val="left"/>
      <w:pPr>
        <w:tabs>
          <w:tab w:val="num" w:pos="3600"/>
        </w:tabs>
        <w:ind w:left="3600" w:hanging="360"/>
      </w:pPr>
      <w:rPr>
        <w:rFonts w:ascii="OpenSymbol" w:hAnsi="OpenSymbol"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
      <w:lvlJc w:val="left"/>
      <w:pPr>
        <w:tabs>
          <w:tab w:val="num" w:pos="4320"/>
        </w:tabs>
        <w:ind w:left="4320" w:hanging="360"/>
      </w:pPr>
      <w:rPr>
        <w:rFonts w:ascii="OpenSymbol" w:hAnsi="OpenSymbol" w:hint="default"/>
      </w:rPr>
    </w:lvl>
    <w:lvl w:ilvl="8">
      <w:start w:val="1"/>
      <w:numFmt w:val="bullet"/>
      <w:lvlText w:val="▪"/>
      <w:lvlJc w:val="left"/>
      <w:pPr>
        <w:tabs>
          <w:tab w:val="num" w:pos="4680"/>
        </w:tabs>
        <w:ind w:left="4680" w:hanging="360"/>
      </w:pPr>
      <w:rPr>
        <w:rFonts w:ascii="OpenSymbol" w:hAnsi="OpenSymbol" w:hint="default"/>
      </w:rPr>
    </w:lvl>
  </w:abstractNum>
  <w:abstractNum w:abstractNumId="6">
    <w:nsid w:val="30DB6D63"/>
    <w:multiLevelType w:val="multilevel"/>
    <w:tmpl w:val="5DA26530"/>
    <w:lvl w:ilvl="0">
      <w:start w:val="1"/>
      <w:numFmt w:val="decimal"/>
      <w:lvlText w:val="%1."/>
      <w:lvlJc w:val="left"/>
      <w:pPr>
        <w:tabs>
          <w:tab w:val="num" w:pos="780"/>
        </w:tabs>
        <w:ind w:left="780" w:hanging="360"/>
      </w:pPr>
      <w:rPr>
        <w:rFonts w:ascii="Times New Roman" w:hAnsi="Times New Roman" w:cs="Times New Roman" w:hint="default"/>
        <w:b w:val="0"/>
        <w:i w:val="0"/>
        <w:sz w:val="22"/>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7">
    <w:nsid w:val="31F246F3"/>
    <w:multiLevelType w:val="multilevel"/>
    <w:tmpl w:val="03DE9CF8"/>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nsid w:val="369A6910"/>
    <w:multiLevelType w:val="multilevel"/>
    <w:tmpl w:val="1E74985A"/>
    <w:lvl w:ilvl="0">
      <w:start w:val="1"/>
      <w:numFmt w:val="upperLetter"/>
      <w:lvlText w:val="%1."/>
      <w:lvlJc w:val="left"/>
      <w:pPr>
        <w:ind w:left="786" w:hanging="360"/>
      </w:pPr>
      <w:rPr>
        <w:rFonts w:cs="Times New Roman"/>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9">
    <w:nsid w:val="39BD5426"/>
    <w:multiLevelType w:val="multilevel"/>
    <w:tmpl w:val="1018EFFA"/>
    <w:lvl w:ilvl="0">
      <w:start w:val="1"/>
      <w:numFmt w:val="lowerLetter"/>
      <w:lvlText w:val="%1)"/>
      <w:lvlJc w:val="left"/>
      <w:pPr>
        <w:ind w:left="7165" w:hanging="360"/>
      </w:pPr>
      <w:rPr>
        <w:rFonts w:cs="Times New Roman"/>
        <w:b/>
        <w:bCs w:val="0"/>
        <w:i/>
        <w:iCs w:val="0"/>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0">
    <w:nsid w:val="40D60484"/>
    <w:multiLevelType w:val="hybridMultilevel"/>
    <w:tmpl w:val="BCAEF0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64F16D9"/>
    <w:multiLevelType w:val="multilevel"/>
    <w:tmpl w:val="FA66CA54"/>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b/>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b.%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
    <w:nsid w:val="4E3C29FB"/>
    <w:multiLevelType w:val="multilevel"/>
    <w:tmpl w:val="0AC2F062"/>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3">
    <w:nsid w:val="53F41136"/>
    <w:multiLevelType w:val="multilevel"/>
    <w:tmpl w:val="93D49A86"/>
    <w:lvl w:ilvl="0">
      <w:start w:val="1"/>
      <w:numFmt w:val="decimal"/>
      <w:lvlText w:val="%1."/>
      <w:lvlJc w:val="left"/>
      <w:pPr>
        <w:tabs>
          <w:tab w:val="num" w:pos="780"/>
        </w:tabs>
        <w:ind w:left="780" w:hanging="360"/>
      </w:pPr>
      <w:rPr>
        <w:rFonts w:ascii="Times New Roman" w:hAnsi="Times New Roman" w:cs="Times New Roman" w:hint="default"/>
        <w:b w:val="0"/>
        <w:i w:val="0"/>
        <w:sz w:val="22"/>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14">
    <w:nsid w:val="53F812ED"/>
    <w:multiLevelType w:val="multilevel"/>
    <w:tmpl w:val="6A42FD4A"/>
    <w:lvl w:ilvl="0">
      <w:start w:val="1"/>
      <w:numFmt w:val="decimal"/>
      <w:lvlText w:val="%1)"/>
      <w:lvlJc w:val="left"/>
      <w:pPr>
        <w:ind w:left="786" w:hanging="360"/>
      </w:pPr>
      <w:rPr>
        <w:rFonts w:cs="Times New Roman"/>
        <w:b/>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5">
    <w:nsid w:val="5E396E9F"/>
    <w:multiLevelType w:val="multilevel"/>
    <w:tmpl w:val="721E89E6"/>
    <w:lvl w:ilvl="0">
      <w:start w:val="1"/>
      <w:numFmt w:val="decimal"/>
      <w:lvlText w:val="%1."/>
      <w:lvlJc w:val="left"/>
      <w:pPr>
        <w:tabs>
          <w:tab w:val="num" w:pos="1800"/>
        </w:tabs>
        <w:ind w:left="1800" w:hanging="360"/>
      </w:pPr>
      <w:rPr>
        <w:rFonts w:cs="Times New Roman" w:hint="default"/>
      </w:rPr>
    </w:lvl>
    <w:lvl w:ilvl="1">
      <w:start w:val="1"/>
      <w:numFmt w:val="bullet"/>
      <w:lvlText w:val="◦"/>
      <w:lvlJc w:val="left"/>
      <w:pPr>
        <w:tabs>
          <w:tab w:val="num" w:pos="2160"/>
        </w:tabs>
        <w:ind w:left="2160" w:hanging="360"/>
      </w:pPr>
      <w:rPr>
        <w:rFonts w:ascii="OpenSymbol" w:hAnsi="OpenSymbol" w:hint="default"/>
      </w:rPr>
    </w:lvl>
    <w:lvl w:ilvl="2">
      <w:start w:val="1"/>
      <w:numFmt w:val="bullet"/>
      <w:lvlText w:val="▪"/>
      <w:lvlJc w:val="left"/>
      <w:pPr>
        <w:tabs>
          <w:tab w:val="num" w:pos="2520"/>
        </w:tabs>
        <w:ind w:left="2520" w:hanging="360"/>
      </w:pPr>
      <w:rPr>
        <w:rFonts w:ascii="OpenSymbol" w:hAnsi="Open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OpenSymbol" w:hAnsi="OpenSymbol" w:hint="default"/>
      </w:rPr>
    </w:lvl>
    <w:lvl w:ilvl="5">
      <w:start w:val="1"/>
      <w:numFmt w:val="bullet"/>
      <w:lvlText w:val="▪"/>
      <w:lvlJc w:val="left"/>
      <w:pPr>
        <w:tabs>
          <w:tab w:val="num" w:pos="3600"/>
        </w:tabs>
        <w:ind w:left="3600" w:hanging="360"/>
      </w:pPr>
      <w:rPr>
        <w:rFonts w:ascii="OpenSymbol" w:hAnsi="OpenSymbol"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
      <w:lvlJc w:val="left"/>
      <w:pPr>
        <w:tabs>
          <w:tab w:val="num" w:pos="4320"/>
        </w:tabs>
        <w:ind w:left="4320" w:hanging="360"/>
      </w:pPr>
      <w:rPr>
        <w:rFonts w:ascii="OpenSymbol" w:hAnsi="OpenSymbol" w:hint="default"/>
      </w:rPr>
    </w:lvl>
    <w:lvl w:ilvl="8">
      <w:start w:val="1"/>
      <w:numFmt w:val="bullet"/>
      <w:lvlText w:val="▪"/>
      <w:lvlJc w:val="left"/>
      <w:pPr>
        <w:tabs>
          <w:tab w:val="num" w:pos="4680"/>
        </w:tabs>
        <w:ind w:left="4680" w:hanging="360"/>
      </w:pPr>
      <w:rPr>
        <w:rFonts w:ascii="OpenSymbol" w:hAnsi="OpenSymbol" w:hint="default"/>
      </w:rPr>
    </w:lvl>
  </w:abstractNum>
  <w:abstractNum w:abstractNumId="16">
    <w:nsid w:val="5FF8048C"/>
    <w:multiLevelType w:val="multilevel"/>
    <w:tmpl w:val="1E74985A"/>
    <w:lvl w:ilvl="0">
      <w:start w:val="1"/>
      <w:numFmt w:val="upperLetter"/>
      <w:lvlText w:val="%1."/>
      <w:lvlJc w:val="left"/>
      <w:pPr>
        <w:ind w:left="786" w:hanging="360"/>
      </w:pPr>
      <w:rPr>
        <w:rFonts w:cs="Times New Roman"/>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nsid w:val="63463E18"/>
    <w:multiLevelType w:val="multilevel"/>
    <w:tmpl w:val="C0B09EEE"/>
    <w:lvl w:ilvl="0">
      <w:start w:val="1"/>
      <w:numFmt w:val="lowerLetter"/>
      <w:lvlText w:val="%1)"/>
      <w:lvlJc w:val="left"/>
      <w:pPr>
        <w:ind w:left="1428" w:hanging="360"/>
      </w:pPr>
      <w:rPr>
        <w:rFonts w:cs="Times New Roman"/>
        <w:b/>
        <w:i/>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b.1.%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8">
    <w:nsid w:val="6A4A5D78"/>
    <w:multiLevelType w:val="hybridMultilevel"/>
    <w:tmpl w:val="35BCE5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6C775CD6"/>
    <w:multiLevelType w:val="hybridMultilevel"/>
    <w:tmpl w:val="7F44CC7A"/>
    <w:lvl w:ilvl="0" w:tplc="7510539E">
      <w:start w:val="1"/>
      <w:numFmt w:val="decimal"/>
      <w:lvlText w:val="%1."/>
      <w:lvlJc w:val="left"/>
      <w:pPr>
        <w:tabs>
          <w:tab w:val="num" w:pos="2771"/>
        </w:tabs>
        <w:ind w:left="2771" w:hanging="360"/>
      </w:pPr>
      <w:rPr>
        <w:rFonts w:cs="Times New Roman" w:hint="default"/>
      </w:rPr>
    </w:lvl>
    <w:lvl w:ilvl="1" w:tplc="04100019" w:tentative="1">
      <w:start w:val="1"/>
      <w:numFmt w:val="lowerLetter"/>
      <w:lvlText w:val="%2."/>
      <w:lvlJc w:val="left"/>
      <w:pPr>
        <w:tabs>
          <w:tab w:val="num" w:pos="3143"/>
        </w:tabs>
        <w:ind w:left="3143" w:hanging="360"/>
      </w:pPr>
      <w:rPr>
        <w:rFonts w:cs="Times New Roman"/>
      </w:rPr>
    </w:lvl>
    <w:lvl w:ilvl="2" w:tplc="0410001B" w:tentative="1">
      <w:start w:val="1"/>
      <w:numFmt w:val="lowerRoman"/>
      <w:lvlText w:val="%3."/>
      <w:lvlJc w:val="right"/>
      <w:pPr>
        <w:tabs>
          <w:tab w:val="num" w:pos="3863"/>
        </w:tabs>
        <w:ind w:left="3863" w:hanging="180"/>
      </w:pPr>
      <w:rPr>
        <w:rFonts w:cs="Times New Roman"/>
      </w:rPr>
    </w:lvl>
    <w:lvl w:ilvl="3" w:tplc="0410000F" w:tentative="1">
      <w:start w:val="1"/>
      <w:numFmt w:val="decimal"/>
      <w:lvlText w:val="%4."/>
      <w:lvlJc w:val="left"/>
      <w:pPr>
        <w:tabs>
          <w:tab w:val="num" w:pos="4583"/>
        </w:tabs>
        <w:ind w:left="4583" w:hanging="360"/>
      </w:pPr>
      <w:rPr>
        <w:rFonts w:cs="Times New Roman"/>
      </w:rPr>
    </w:lvl>
    <w:lvl w:ilvl="4" w:tplc="04100019" w:tentative="1">
      <w:start w:val="1"/>
      <w:numFmt w:val="lowerLetter"/>
      <w:lvlText w:val="%5."/>
      <w:lvlJc w:val="left"/>
      <w:pPr>
        <w:tabs>
          <w:tab w:val="num" w:pos="5303"/>
        </w:tabs>
        <w:ind w:left="5303" w:hanging="360"/>
      </w:pPr>
      <w:rPr>
        <w:rFonts w:cs="Times New Roman"/>
      </w:rPr>
    </w:lvl>
    <w:lvl w:ilvl="5" w:tplc="0410001B" w:tentative="1">
      <w:start w:val="1"/>
      <w:numFmt w:val="lowerRoman"/>
      <w:lvlText w:val="%6."/>
      <w:lvlJc w:val="right"/>
      <w:pPr>
        <w:tabs>
          <w:tab w:val="num" w:pos="6023"/>
        </w:tabs>
        <w:ind w:left="6023" w:hanging="180"/>
      </w:pPr>
      <w:rPr>
        <w:rFonts w:cs="Times New Roman"/>
      </w:rPr>
    </w:lvl>
    <w:lvl w:ilvl="6" w:tplc="0410000F" w:tentative="1">
      <w:start w:val="1"/>
      <w:numFmt w:val="decimal"/>
      <w:lvlText w:val="%7."/>
      <w:lvlJc w:val="left"/>
      <w:pPr>
        <w:tabs>
          <w:tab w:val="num" w:pos="6743"/>
        </w:tabs>
        <w:ind w:left="6743" w:hanging="360"/>
      </w:pPr>
      <w:rPr>
        <w:rFonts w:cs="Times New Roman"/>
      </w:rPr>
    </w:lvl>
    <w:lvl w:ilvl="7" w:tplc="04100019" w:tentative="1">
      <w:start w:val="1"/>
      <w:numFmt w:val="lowerLetter"/>
      <w:lvlText w:val="%8."/>
      <w:lvlJc w:val="left"/>
      <w:pPr>
        <w:tabs>
          <w:tab w:val="num" w:pos="7463"/>
        </w:tabs>
        <w:ind w:left="7463" w:hanging="360"/>
      </w:pPr>
      <w:rPr>
        <w:rFonts w:cs="Times New Roman"/>
      </w:rPr>
    </w:lvl>
    <w:lvl w:ilvl="8" w:tplc="0410001B" w:tentative="1">
      <w:start w:val="1"/>
      <w:numFmt w:val="lowerRoman"/>
      <w:lvlText w:val="%9."/>
      <w:lvlJc w:val="right"/>
      <w:pPr>
        <w:tabs>
          <w:tab w:val="num" w:pos="8183"/>
        </w:tabs>
        <w:ind w:left="8183" w:hanging="180"/>
      </w:pPr>
      <w:rPr>
        <w:rFonts w:cs="Times New Roman"/>
      </w:rPr>
    </w:lvl>
  </w:abstractNum>
  <w:abstractNum w:abstractNumId="20">
    <w:nsid w:val="730C6AAB"/>
    <w:multiLevelType w:val="multilevel"/>
    <w:tmpl w:val="0410001F"/>
    <w:lvl w:ilvl="0">
      <w:start w:val="1"/>
      <w:numFmt w:val="decimal"/>
      <w:lvlText w:val="%1."/>
      <w:lvlJc w:val="left"/>
      <w:pPr>
        <w:tabs>
          <w:tab w:val="num" w:pos="2160"/>
        </w:tabs>
        <w:ind w:left="2160" w:hanging="360"/>
      </w:pPr>
      <w:rPr>
        <w:rFonts w:cs="Times New Roman" w:hint="default"/>
      </w:rPr>
    </w:lvl>
    <w:lvl w:ilvl="1">
      <w:start w:val="1"/>
      <w:numFmt w:val="decimal"/>
      <w:lvlText w:val="%1.%2."/>
      <w:lvlJc w:val="left"/>
      <w:pPr>
        <w:tabs>
          <w:tab w:val="num" w:pos="2592"/>
        </w:tabs>
        <w:ind w:left="2592" w:hanging="432"/>
      </w:pPr>
      <w:rPr>
        <w:rFonts w:cs="Times New Roman" w:hint="default"/>
      </w:rPr>
    </w:lvl>
    <w:lvl w:ilvl="2">
      <w:start w:val="1"/>
      <w:numFmt w:val="decimal"/>
      <w:lvlText w:val="%1.%2.%3."/>
      <w:lvlJc w:val="left"/>
      <w:pPr>
        <w:tabs>
          <w:tab w:val="num" w:pos="3240"/>
        </w:tabs>
        <w:ind w:left="3024" w:hanging="504"/>
      </w:pPr>
      <w:rPr>
        <w:rFonts w:cs="Times New Roman" w:hint="default"/>
      </w:rPr>
    </w:lvl>
    <w:lvl w:ilvl="3">
      <w:start w:val="1"/>
      <w:numFmt w:val="decimal"/>
      <w:lvlText w:val="%1.%2.%3.%4."/>
      <w:lvlJc w:val="left"/>
      <w:pPr>
        <w:tabs>
          <w:tab w:val="num" w:pos="3600"/>
        </w:tabs>
        <w:ind w:left="3528" w:hanging="648"/>
      </w:pPr>
      <w:rPr>
        <w:rFonts w:cs="Times New Roman" w:hint="default"/>
      </w:rPr>
    </w:lvl>
    <w:lvl w:ilvl="4">
      <w:start w:val="1"/>
      <w:numFmt w:val="decimal"/>
      <w:lvlText w:val="%1.%2.%3.%4.%5."/>
      <w:lvlJc w:val="left"/>
      <w:pPr>
        <w:tabs>
          <w:tab w:val="num" w:pos="4320"/>
        </w:tabs>
        <w:ind w:left="4032" w:hanging="792"/>
      </w:pPr>
      <w:rPr>
        <w:rFonts w:cs="Times New Roman" w:hint="default"/>
      </w:rPr>
    </w:lvl>
    <w:lvl w:ilvl="5">
      <w:start w:val="1"/>
      <w:numFmt w:val="decimal"/>
      <w:lvlText w:val="%1.%2.%3.%4.%5.%6."/>
      <w:lvlJc w:val="left"/>
      <w:pPr>
        <w:tabs>
          <w:tab w:val="num" w:pos="4680"/>
        </w:tabs>
        <w:ind w:left="4536" w:hanging="936"/>
      </w:pPr>
      <w:rPr>
        <w:rFonts w:cs="Times New Roman" w:hint="default"/>
      </w:rPr>
    </w:lvl>
    <w:lvl w:ilvl="6">
      <w:start w:val="1"/>
      <w:numFmt w:val="decimal"/>
      <w:lvlText w:val="%1.%2.%3.%4.%5.%6.%7."/>
      <w:lvlJc w:val="left"/>
      <w:pPr>
        <w:tabs>
          <w:tab w:val="num" w:pos="5400"/>
        </w:tabs>
        <w:ind w:left="5040" w:hanging="1080"/>
      </w:pPr>
      <w:rPr>
        <w:rFonts w:cs="Times New Roman" w:hint="default"/>
      </w:rPr>
    </w:lvl>
    <w:lvl w:ilvl="7">
      <w:start w:val="1"/>
      <w:numFmt w:val="decimal"/>
      <w:lvlText w:val="%1.%2.%3.%4.%5.%6.%7.%8."/>
      <w:lvlJc w:val="left"/>
      <w:pPr>
        <w:tabs>
          <w:tab w:val="num" w:pos="5760"/>
        </w:tabs>
        <w:ind w:left="5544" w:hanging="1224"/>
      </w:pPr>
      <w:rPr>
        <w:rFonts w:cs="Times New Roman" w:hint="default"/>
      </w:rPr>
    </w:lvl>
    <w:lvl w:ilvl="8">
      <w:start w:val="1"/>
      <w:numFmt w:val="decimal"/>
      <w:lvlText w:val="%1.%2.%3.%4.%5.%6.%7.%8.%9."/>
      <w:lvlJc w:val="left"/>
      <w:pPr>
        <w:tabs>
          <w:tab w:val="num" w:pos="6480"/>
        </w:tabs>
        <w:ind w:left="6120" w:hanging="1440"/>
      </w:pPr>
      <w:rPr>
        <w:rFonts w:cs="Times New Roman" w:hint="default"/>
      </w:rPr>
    </w:lvl>
  </w:abstractNum>
  <w:abstractNum w:abstractNumId="21">
    <w:nsid w:val="778D2AF5"/>
    <w:multiLevelType w:val="multilevel"/>
    <w:tmpl w:val="59DA9D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B3F75E3"/>
    <w:multiLevelType w:val="multilevel"/>
    <w:tmpl w:val="BA70CE42"/>
    <w:lvl w:ilvl="0">
      <w:start w:val="1"/>
      <w:numFmt w:val="lowerLetter"/>
      <w:lvlText w:val="%1)"/>
      <w:lvlJc w:val="left"/>
      <w:pPr>
        <w:ind w:left="1440" w:hanging="360"/>
      </w:pPr>
      <w:rPr>
        <w:rFonts w:cs="Times New Roman"/>
        <w:b/>
        <w:i/>
      </w:rPr>
    </w:lvl>
    <w:lvl w:ilvl="1">
      <w:start w:val="1"/>
      <w:numFmt w:val="decimal"/>
      <w:lvlText w:val="%2."/>
      <w:lvlJc w:val="left"/>
      <w:pPr>
        <w:tabs>
          <w:tab w:val="num" w:pos="1440"/>
        </w:tabs>
        <w:ind w:left="1440" w:hanging="360"/>
      </w:pPr>
      <w:rPr>
        <w:rFonts w:cs="Times New Roman" w:hint="default"/>
        <w:b/>
        <w:i/>
      </w:rPr>
    </w:lvl>
    <w:lvl w:ilvl="2">
      <w:start w:val="1"/>
      <w:numFmt w:val="decimal"/>
      <w:lvlText w:val="%3."/>
      <w:lvlJc w:val="left"/>
      <w:pPr>
        <w:tabs>
          <w:tab w:val="num" w:pos="2340"/>
        </w:tabs>
        <w:ind w:left="2340" w:hanging="360"/>
      </w:pPr>
      <w:rPr>
        <w:rFonts w:cs="Times New Roman" w:hint="default"/>
        <w:b/>
        <w:i/>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13"/>
  </w:num>
  <w:num w:numId="3">
    <w:abstractNumId w:val="19"/>
  </w:num>
  <w:num w:numId="4">
    <w:abstractNumId w:val="21"/>
  </w:num>
  <w:num w:numId="5">
    <w:abstractNumId w:val="17"/>
  </w:num>
  <w:num w:numId="6">
    <w:abstractNumId w:val="14"/>
  </w:num>
  <w:num w:numId="7">
    <w:abstractNumId w:val="16"/>
  </w:num>
  <w:num w:numId="8">
    <w:abstractNumId w:val="22"/>
  </w:num>
  <w:num w:numId="9">
    <w:abstractNumId w:val="20"/>
  </w:num>
  <w:num w:numId="10">
    <w:abstractNumId w:val="6"/>
  </w:num>
  <w:num w:numId="11">
    <w:abstractNumId w:val="11"/>
  </w:num>
  <w:num w:numId="12">
    <w:abstractNumId w:val="3"/>
  </w:num>
  <w:num w:numId="13">
    <w:abstractNumId w:val="8"/>
  </w:num>
  <w:num w:numId="14">
    <w:abstractNumId w:val="4"/>
  </w:num>
  <w:num w:numId="15">
    <w:abstractNumId w:val="7"/>
  </w:num>
  <w:num w:numId="16">
    <w:abstractNumId w:val="15"/>
  </w:num>
  <w:num w:numId="17">
    <w:abstractNumId w:val="5"/>
  </w:num>
  <w:num w:numId="18">
    <w:abstractNumId w:val="12"/>
  </w:num>
  <w:num w:numId="19">
    <w:abstractNumId w:val="1"/>
  </w:num>
  <w:num w:numId="20">
    <w:abstractNumId w:val="0"/>
  </w:num>
  <w:num w:numId="21">
    <w:abstractNumId w:val="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4C"/>
    <w:rsid w:val="00031036"/>
    <w:rsid w:val="00046D95"/>
    <w:rsid w:val="000C3CFB"/>
    <w:rsid w:val="000D7BD7"/>
    <w:rsid w:val="00121166"/>
    <w:rsid w:val="001328D7"/>
    <w:rsid w:val="00132EBD"/>
    <w:rsid w:val="0027786A"/>
    <w:rsid w:val="002863A4"/>
    <w:rsid w:val="002E1624"/>
    <w:rsid w:val="002E29F3"/>
    <w:rsid w:val="002F32A1"/>
    <w:rsid w:val="00337269"/>
    <w:rsid w:val="0036239A"/>
    <w:rsid w:val="003E228B"/>
    <w:rsid w:val="00422E1F"/>
    <w:rsid w:val="00451446"/>
    <w:rsid w:val="00460D3B"/>
    <w:rsid w:val="0047450A"/>
    <w:rsid w:val="00474D52"/>
    <w:rsid w:val="00496EE4"/>
    <w:rsid w:val="004B0BA7"/>
    <w:rsid w:val="004C4949"/>
    <w:rsid w:val="004F2946"/>
    <w:rsid w:val="005057E4"/>
    <w:rsid w:val="005416D9"/>
    <w:rsid w:val="00561523"/>
    <w:rsid w:val="005A7B64"/>
    <w:rsid w:val="005D73B1"/>
    <w:rsid w:val="005E0B98"/>
    <w:rsid w:val="006030A9"/>
    <w:rsid w:val="0061048B"/>
    <w:rsid w:val="00612528"/>
    <w:rsid w:val="00631418"/>
    <w:rsid w:val="00650BA8"/>
    <w:rsid w:val="00672B58"/>
    <w:rsid w:val="006D1CC3"/>
    <w:rsid w:val="006F7B63"/>
    <w:rsid w:val="007001AB"/>
    <w:rsid w:val="00750E48"/>
    <w:rsid w:val="00783846"/>
    <w:rsid w:val="007A1963"/>
    <w:rsid w:val="007B0EA4"/>
    <w:rsid w:val="007C7D8B"/>
    <w:rsid w:val="007F710D"/>
    <w:rsid w:val="00872044"/>
    <w:rsid w:val="008C438B"/>
    <w:rsid w:val="00924335"/>
    <w:rsid w:val="009261BA"/>
    <w:rsid w:val="00940FAD"/>
    <w:rsid w:val="009607C4"/>
    <w:rsid w:val="00966A95"/>
    <w:rsid w:val="009823E1"/>
    <w:rsid w:val="009A00D8"/>
    <w:rsid w:val="009C4BF9"/>
    <w:rsid w:val="009F3DBA"/>
    <w:rsid w:val="00A15762"/>
    <w:rsid w:val="00A24C12"/>
    <w:rsid w:val="00A803E1"/>
    <w:rsid w:val="00A85D7E"/>
    <w:rsid w:val="00A86BFA"/>
    <w:rsid w:val="00AB34F8"/>
    <w:rsid w:val="00B55FD7"/>
    <w:rsid w:val="00B735D5"/>
    <w:rsid w:val="00B92E0D"/>
    <w:rsid w:val="00C04685"/>
    <w:rsid w:val="00C66450"/>
    <w:rsid w:val="00C71289"/>
    <w:rsid w:val="00C81F72"/>
    <w:rsid w:val="00C8424C"/>
    <w:rsid w:val="00D34573"/>
    <w:rsid w:val="00D47CBA"/>
    <w:rsid w:val="00DB7498"/>
    <w:rsid w:val="00DF121C"/>
    <w:rsid w:val="00E26F9C"/>
    <w:rsid w:val="00EC4287"/>
    <w:rsid w:val="00ED3696"/>
    <w:rsid w:val="00EE08A2"/>
    <w:rsid w:val="00EF2D90"/>
    <w:rsid w:val="00F338CB"/>
    <w:rsid w:val="00F47172"/>
    <w:rsid w:val="00F528A6"/>
    <w:rsid w:val="00F91FE0"/>
    <w:rsid w:val="00FB1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CA320-682C-423A-888A-E734F2BD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24C"/>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8424C"/>
    <w:pPr>
      <w:ind w:left="720"/>
      <w:contextualSpacing/>
    </w:pPr>
  </w:style>
  <w:style w:type="paragraph" w:customStyle="1" w:styleId="Standard">
    <w:name w:val="Standard"/>
    <w:uiPriority w:val="99"/>
    <w:rsid w:val="00C8424C"/>
    <w:rPr>
      <w:rFonts w:ascii="Calibri" w:eastAsia="Calibri" w:hAnsi="Calibri" w:cs="Tahoma"/>
      <w:color w:val="00000A"/>
    </w:rPr>
  </w:style>
  <w:style w:type="character" w:styleId="Collegamentoipertestuale">
    <w:name w:val="Hyperlink"/>
    <w:basedOn w:val="Carpredefinitoparagrafo"/>
    <w:uiPriority w:val="99"/>
    <w:unhideWhenUsed/>
    <w:rsid w:val="00C8424C"/>
    <w:rPr>
      <w:color w:val="0000FF"/>
      <w:u w:val="single"/>
    </w:rPr>
  </w:style>
  <w:style w:type="paragraph" w:styleId="PreformattatoHTML">
    <w:name w:val="HTML Preformatted"/>
    <w:basedOn w:val="Normale"/>
    <w:link w:val="PreformattatoHTMLCarattere"/>
    <w:uiPriority w:val="99"/>
    <w:unhideWhenUsed/>
    <w:rsid w:val="00C8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noProof w:val="0"/>
      <w:sz w:val="20"/>
      <w:szCs w:val="20"/>
      <w:lang w:eastAsia="it-IT"/>
    </w:rPr>
  </w:style>
  <w:style w:type="character" w:customStyle="1" w:styleId="PreformattatoHTMLCarattere">
    <w:name w:val="Preformattato HTML Carattere"/>
    <w:basedOn w:val="Carpredefinitoparagrafo"/>
    <w:link w:val="PreformattatoHTML"/>
    <w:uiPriority w:val="99"/>
    <w:rsid w:val="00C8424C"/>
    <w:rPr>
      <w:rFonts w:ascii="Courier New" w:eastAsia="Calibri" w:hAnsi="Courier New" w:cs="Courier New"/>
      <w:sz w:val="20"/>
      <w:szCs w:val="20"/>
      <w:lang w:eastAsia="it-IT"/>
    </w:rPr>
  </w:style>
  <w:style w:type="paragraph" w:styleId="Intestazione">
    <w:name w:val="header"/>
    <w:basedOn w:val="Normale"/>
    <w:link w:val="IntestazioneCarattere"/>
    <w:uiPriority w:val="99"/>
    <w:unhideWhenUsed/>
    <w:rsid w:val="00C664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6450"/>
    <w:rPr>
      <w:noProof/>
    </w:rPr>
  </w:style>
  <w:style w:type="paragraph" w:styleId="Pidipagina">
    <w:name w:val="footer"/>
    <w:basedOn w:val="Normale"/>
    <w:link w:val="PidipaginaCarattere"/>
    <w:uiPriority w:val="99"/>
    <w:unhideWhenUsed/>
    <w:rsid w:val="00C664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6450"/>
    <w:rPr>
      <w:noProof/>
    </w:rPr>
  </w:style>
  <w:style w:type="paragraph" w:styleId="Testofumetto">
    <w:name w:val="Balloon Text"/>
    <w:basedOn w:val="Normale"/>
    <w:link w:val="TestofumettoCarattere"/>
    <w:uiPriority w:val="99"/>
    <w:semiHidden/>
    <w:unhideWhenUsed/>
    <w:rsid w:val="00B92E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2E0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edilizia@emarche.it" TargetMode="External"/><Relationship Id="rId13" Type="http://schemas.openxmlformats.org/officeDocument/2006/relationships/image" Target="media/image1.wmf"/><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dilizia.regione.marche.it" TargetMode="External"/><Relationship Id="rId12" Type="http://schemas.openxmlformats.org/officeDocument/2006/relationships/hyperlink" Target="mailto:massimiliano.gabrielli@regione.marche.it"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o.baldoni@regione.marche.it" TargetMode="External"/><Relationship Id="rId5" Type="http://schemas.openxmlformats.org/officeDocument/2006/relationships/footnotes" Target="footnotes.xml"/><Relationship Id="rId15" Type="http://schemas.openxmlformats.org/officeDocument/2006/relationships/hyperlink" Target="http://www.protezionecivile.gov.it/resources/cms/.../Indici_di_rischio.xls" TargetMode="External"/><Relationship Id="rId10" Type="http://schemas.openxmlformats.org/officeDocument/2006/relationships/hyperlink" Target="mailto:beatrice.pettinari@regione.marche.it"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carmen.sbrollini@regione.marche.it"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5110</Words>
  <Characters>29132</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Sbrollini</dc:creator>
  <cp:lastModifiedBy>Andrea Carotti</cp:lastModifiedBy>
  <cp:revision>2</cp:revision>
  <cp:lastPrinted>2019-04-03T12:41:00Z</cp:lastPrinted>
  <dcterms:created xsi:type="dcterms:W3CDTF">2019-04-08T07:00:00Z</dcterms:created>
  <dcterms:modified xsi:type="dcterms:W3CDTF">2019-04-08T07:00:00Z</dcterms:modified>
</cp:coreProperties>
</file>