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BC" w:rsidRDefault="00E026BC" w:rsidP="00E02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Seminario –</w:t>
      </w:r>
      <w:r w:rsidR="00182C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0530">
        <w:rPr>
          <w:rFonts w:ascii="Times New Roman" w:hAnsi="Times New Roman" w:cs="Times New Roman"/>
          <w:b/>
          <w:sz w:val="32"/>
          <w:szCs w:val="32"/>
        </w:rPr>
        <w:t>Ancona 22</w:t>
      </w:r>
      <w:r>
        <w:rPr>
          <w:rFonts w:ascii="Times New Roman" w:hAnsi="Times New Roman" w:cs="Times New Roman"/>
          <w:b/>
          <w:sz w:val="32"/>
          <w:szCs w:val="32"/>
        </w:rPr>
        <w:t xml:space="preserve"> giugno 2018</w:t>
      </w:r>
    </w:p>
    <w:p w:rsidR="00E026BC" w:rsidRDefault="00E026BC" w:rsidP="00E02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Nuove Norme sulla Razionalizzazione del sistema di distribuzione dei carburanti</w:t>
      </w:r>
    </w:p>
    <w:p w:rsidR="00E026BC" w:rsidRDefault="00E026BC" w:rsidP="00E02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6BC" w:rsidRDefault="00E026BC" w:rsidP="00C65B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73DD" w:rsidRPr="00C65BE8" w:rsidRDefault="00C65BE8" w:rsidP="00C65B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65BE8">
        <w:rPr>
          <w:rFonts w:ascii="Times New Roman" w:hAnsi="Times New Roman" w:cs="Times New Roman"/>
          <w:b/>
          <w:sz w:val="32"/>
          <w:szCs w:val="32"/>
        </w:rPr>
        <w:t>Aspetti e contenuti dell’accordo di conferenza unificata dell’8 marzo 2018</w:t>
      </w:r>
    </w:p>
    <w:p w:rsidR="00C65BE8" w:rsidRDefault="00C65BE8" w:rsidP="00470D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4E23" w:rsidRDefault="00684E23" w:rsidP="0047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E23" w:rsidRDefault="00684E23" w:rsidP="00470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7663" w:rsidRPr="00C65BE8" w:rsidRDefault="007F42AD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Come è già stato evidenziato da chi mi ha preceduto</w:t>
      </w:r>
      <w:r w:rsidR="00187505" w:rsidRPr="00C65BE8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l</w:t>
      </w:r>
      <w:r w:rsidR="00E27663" w:rsidRPr="00C65BE8">
        <w:rPr>
          <w:rFonts w:ascii="Times New Roman" w:hAnsi="Times New Roman" w:cs="Times New Roman"/>
          <w:sz w:val="28"/>
          <w:szCs w:val="28"/>
        </w:rPr>
        <w:t xml:space="preserve">a legge </w:t>
      </w:r>
      <w:r w:rsidR="00D052AF" w:rsidRPr="00C65BE8">
        <w:rPr>
          <w:rFonts w:ascii="Times New Roman" w:hAnsi="Times New Roman" w:cs="Times New Roman"/>
          <w:sz w:val="28"/>
          <w:szCs w:val="28"/>
        </w:rPr>
        <w:t xml:space="preserve">n. </w:t>
      </w:r>
      <w:r w:rsidR="00E27663" w:rsidRPr="00C65BE8">
        <w:rPr>
          <w:rFonts w:ascii="Times New Roman" w:hAnsi="Times New Roman" w:cs="Times New Roman"/>
          <w:sz w:val="28"/>
          <w:szCs w:val="28"/>
        </w:rPr>
        <w:t>124 del 4 agosto 2017 in vigore dal 29/08/2017</w:t>
      </w:r>
      <w:r w:rsidR="00D052AF" w:rsidRPr="00C65BE8">
        <w:rPr>
          <w:rFonts w:ascii="Times New Roman" w:hAnsi="Times New Roman" w:cs="Times New Roman"/>
          <w:sz w:val="28"/>
          <w:szCs w:val="28"/>
        </w:rPr>
        <w:t>,</w:t>
      </w:r>
      <w:r w:rsidR="00E27663" w:rsidRPr="00C65BE8">
        <w:rPr>
          <w:rFonts w:ascii="Times New Roman" w:hAnsi="Times New Roman" w:cs="Times New Roman"/>
          <w:sz w:val="28"/>
          <w:szCs w:val="28"/>
        </w:rPr>
        <w:t xml:space="preserve"> all’art</w:t>
      </w:r>
      <w:r w:rsidR="00D052AF" w:rsidRPr="00C65BE8">
        <w:rPr>
          <w:rFonts w:ascii="Times New Roman" w:hAnsi="Times New Roman" w:cs="Times New Roman"/>
          <w:sz w:val="28"/>
          <w:szCs w:val="28"/>
        </w:rPr>
        <w:t>icolo</w:t>
      </w:r>
      <w:r w:rsidR="00E27663" w:rsidRPr="00C65BE8">
        <w:rPr>
          <w:rFonts w:ascii="Times New Roman" w:hAnsi="Times New Roman" w:cs="Times New Roman"/>
          <w:sz w:val="28"/>
          <w:szCs w:val="28"/>
        </w:rPr>
        <w:t xml:space="preserve"> 1</w:t>
      </w:r>
      <w:r w:rsidR="00D052AF" w:rsidRPr="00C65BE8">
        <w:rPr>
          <w:rFonts w:ascii="Times New Roman" w:hAnsi="Times New Roman" w:cs="Times New Roman"/>
          <w:sz w:val="28"/>
          <w:szCs w:val="28"/>
        </w:rPr>
        <w:t>,</w:t>
      </w:r>
      <w:r w:rsidR="00187505" w:rsidRPr="00C65BE8">
        <w:rPr>
          <w:rFonts w:ascii="Times New Roman" w:hAnsi="Times New Roman" w:cs="Times New Roman"/>
          <w:sz w:val="28"/>
          <w:szCs w:val="28"/>
        </w:rPr>
        <w:t xml:space="preserve"> dal comma 98 al comma 119, ha la finalità</w:t>
      </w:r>
      <w:r w:rsidR="00E27663" w:rsidRPr="00C65BE8">
        <w:rPr>
          <w:rFonts w:ascii="Times New Roman" w:hAnsi="Times New Roman" w:cs="Times New Roman"/>
          <w:sz w:val="28"/>
          <w:szCs w:val="28"/>
        </w:rPr>
        <w:t xml:space="preserve"> di incrementare la concorrenzialità del mercato dei carburanti e la diffusione al consumat</w:t>
      </w:r>
      <w:r w:rsidR="000A4C93" w:rsidRPr="00C65BE8">
        <w:rPr>
          <w:rFonts w:ascii="Times New Roman" w:hAnsi="Times New Roman" w:cs="Times New Roman"/>
          <w:sz w:val="28"/>
          <w:szCs w:val="28"/>
        </w:rPr>
        <w:t>ore delle relative informazioni e</w:t>
      </w:r>
      <w:r w:rsidR="00E27663" w:rsidRPr="00C65BE8">
        <w:rPr>
          <w:rFonts w:ascii="Times New Roman" w:hAnsi="Times New Roman" w:cs="Times New Roman"/>
          <w:sz w:val="28"/>
          <w:szCs w:val="28"/>
        </w:rPr>
        <w:t xml:space="preserve"> pone </w:t>
      </w:r>
      <w:r w:rsidR="000A4C93" w:rsidRPr="00C65BE8">
        <w:rPr>
          <w:rFonts w:ascii="Times New Roman" w:hAnsi="Times New Roman" w:cs="Times New Roman"/>
          <w:sz w:val="28"/>
          <w:szCs w:val="28"/>
        </w:rPr>
        <w:t xml:space="preserve">in essere </w:t>
      </w:r>
      <w:r w:rsidR="00E27663" w:rsidRPr="00C65BE8">
        <w:rPr>
          <w:rFonts w:ascii="Times New Roman" w:hAnsi="Times New Roman" w:cs="Times New Roman"/>
          <w:sz w:val="28"/>
          <w:szCs w:val="28"/>
        </w:rPr>
        <w:t>una serie di norme in materia di razionalizzazione del sistema di distribuzione dei carburanti.</w:t>
      </w:r>
    </w:p>
    <w:p w:rsidR="007F42AD" w:rsidRPr="00C65BE8" w:rsidRDefault="007F42AD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AD" w:rsidRPr="00C65BE8" w:rsidRDefault="00796724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Le principali</w:t>
      </w:r>
      <w:r w:rsidR="007F42AD" w:rsidRPr="00C65BE8">
        <w:rPr>
          <w:rFonts w:ascii="Times New Roman" w:hAnsi="Times New Roman" w:cs="Times New Roman"/>
          <w:sz w:val="28"/>
          <w:szCs w:val="28"/>
        </w:rPr>
        <w:t xml:space="preserve"> novità rispetto al quadro di riferimento precedente è da ricercarsi nei seguenti </w:t>
      </w:r>
      <w:r w:rsidR="00B34274">
        <w:rPr>
          <w:rFonts w:ascii="Times New Roman" w:hAnsi="Times New Roman" w:cs="Times New Roman"/>
          <w:sz w:val="28"/>
          <w:szCs w:val="28"/>
        </w:rPr>
        <w:t>elementi</w:t>
      </w:r>
      <w:r w:rsidR="007F42AD" w:rsidRPr="00C65BE8">
        <w:rPr>
          <w:rFonts w:ascii="Times New Roman" w:hAnsi="Times New Roman" w:cs="Times New Roman"/>
          <w:sz w:val="28"/>
          <w:szCs w:val="28"/>
        </w:rPr>
        <w:t>:</w:t>
      </w:r>
    </w:p>
    <w:p w:rsidR="001675C3" w:rsidRPr="00C65BE8" w:rsidRDefault="00F5586D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L’i</w:t>
      </w:r>
      <w:r w:rsidR="001675C3" w:rsidRPr="00C65BE8">
        <w:rPr>
          <w:rFonts w:ascii="Times New Roman" w:hAnsi="Times New Roman" w:cs="Times New Roman"/>
          <w:sz w:val="28"/>
          <w:szCs w:val="28"/>
        </w:rPr>
        <w:t>ntroduzione di un’anagrafe</w:t>
      </w:r>
      <w:r w:rsidR="00796724" w:rsidRPr="00C65BE8">
        <w:rPr>
          <w:rFonts w:ascii="Times New Roman" w:hAnsi="Times New Roman" w:cs="Times New Roman"/>
          <w:sz w:val="28"/>
          <w:szCs w:val="28"/>
        </w:rPr>
        <w:t xml:space="preserve"> istituita presso il Mise </w:t>
      </w:r>
      <w:r w:rsidR="001675C3" w:rsidRPr="00C65BE8">
        <w:rPr>
          <w:rFonts w:ascii="Times New Roman" w:hAnsi="Times New Roman" w:cs="Times New Roman"/>
          <w:sz w:val="28"/>
          <w:szCs w:val="28"/>
        </w:rPr>
        <w:t>degli impianti di distribuzione di benzina, gasolio, GPL e metano della rete stradale e autostradale;</w:t>
      </w:r>
    </w:p>
    <w:p w:rsidR="007F42AD" w:rsidRPr="00C65BE8" w:rsidRDefault="00F5586D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L’ o</w:t>
      </w:r>
      <w:r w:rsidR="007F42AD" w:rsidRPr="00C65BE8">
        <w:rPr>
          <w:rFonts w:ascii="Times New Roman" w:hAnsi="Times New Roman" w:cs="Times New Roman"/>
          <w:sz w:val="28"/>
          <w:szCs w:val="28"/>
        </w:rPr>
        <w:t xml:space="preserve">bbligo di iscrizione da parte di tutti i titolari/concessionari di iscrizione </w:t>
      </w:r>
      <w:r w:rsidR="001675C3" w:rsidRPr="00C65BE8">
        <w:rPr>
          <w:rFonts w:ascii="Times New Roman" w:hAnsi="Times New Roman" w:cs="Times New Roman"/>
          <w:sz w:val="28"/>
          <w:szCs w:val="28"/>
        </w:rPr>
        <w:t>ad un’anagrafe degli impianti di distribuzione di benzina, gasolio, GPL e metano della rete stradale e autostradale;</w:t>
      </w:r>
    </w:p>
    <w:p w:rsidR="001675C3" w:rsidRPr="00C65BE8" w:rsidRDefault="00F5586D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La d</w:t>
      </w:r>
      <w:r w:rsidR="00796724" w:rsidRPr="00C65BE8">
        <w:rPr>
          <w:rFonts w:ascii="Times New Roman" w:hAnsi="Times New Roman" w:cs="Times New Roman"/>
          <w:sz w:val="28"/>
          <w:szCs w:val="28"/>
        </w:rPr>
        <w:t>efinizione dei casi di incompatibilità ai fini della sicurezza stradale. Al comma 112 per gli impianti ubicati all’interno dei centri abitati e al comma 113 per quelli ubicati all’esterno dei centri abitati.</w:t>
      </w:r>
    </w:p>
    <w:p w:rsidR="00796724" w:rsidRPr="00C65BE8" w:rsidRDefault="000A4C93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L’iscrizione all’anagrafe diventa </w:t>
      </w:r>
      <w:r w:rsidR="00796724" w:rsidRPr="00C65BE8">
        <w:rPr>
          <w:rFonts w:ascii="Times New Roman" w:hAnsi="Times New Roman" w:cs="Times New Roman"/>
          <w:sz w:val="28"/>
          <w:szCs w:val="28"/>
        </w:rPr>
        <w:t xml:space="preserve"> requisito fondamentale per la validità del titolo autorizzativo o concessionario.</w:t>
      </w:r>
    </w:p>
    <w:p w:rsidR="00187505" w:rsidRPr="00C65BE8" w:rsidRDefault="000A4C93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La legge modifica 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sostanzialmente </w:t>
      </w:r>
      <w:r w:rsidRPr="00C65BE8">
        <w:rPr>
          <w:rFonts w:ascii="Times New Roman" w:hAnsi="Times New Roman" w:cs="Times New Roman"/>
          <w:sz w:val="28"/>
          <w:szCs w:val="28"/>
        </w:rPr>
        <w:t xml:space="preserve">gli attuali assetti tra i soggetti pubblici </w:t>
      </w:r>
      <w:r w:rsidR="00596B28" w:rsidRPr="00C65BE8">
        <w:rPr>
          <w:rFonts w:ascii="Times New Roman" w:hAnsi="Times New Roman" w:cs="Times New Roman"/>
          <w:sz w:val="28"/>
          <w:szCs w:val="28"/>
        </w:rPr>
        <w:t>“</w:t>
      </w:r>
      <w:r w:rsidRPr="00C65BE8">
        <w:rPr>
          <w:rFonts w:ascii="Times New Roman" w:hAnsi="Times New Roman" w:cs="Times New Roman"/>
          <w:sz w:val="28"/>
          <w:szCs w:val="28"/>
        </w:rPr>
        <w:t>normalmente</w:t>
      </w:r>
      <w:r w:rsidR="00596B28" w:rsidRPr="00C65BE8">
        <w:rPr>
          <w:rFonts w:ascii="Times New Roman" w:hAnsi="Times New Roman" w:cs="Times New Roman"/>
          <w:sz w:val="28"/>
          <w:szCs w:val="28"/>
        </w:rPr>
        <w:t>”</w:t>
      </w:r>
      <w:r w:rsidRPr="00C65BE8">
        <w:rPr>
          <w:rFonts w:ascii="Times New Roman" w:hAnsi="Times New Roman" w:cs="Times New Roman"/>
          <w:sz w:val="28"/>
          <w:szCs w:val="28"/>
        </w:rPr>
        <w:t xml:space="preserve"> interessati al settore carburanti 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in modo particolare in due </w:t>
      </w:r>
      <w:r w:rsidR="00B34274">
        <w:rPr>
          <w:rFonts w:ascii="Times New Roman" w:hAnsi="Times New Roman" w:cs="Times New Roman"/>
          <w:sz w:val="28"/>
          <w:szCs w:val="28"/>
        </w:rPr>
        <w:t>aspetti</w:t>
      </w:r>
      <w:r w:rsidR="00596B28" w:rsidRPr="00C65BE8">
        <w:rPr>
          <w:rFonts w:ascii="Times New Roman" w:hAnsi="Times New Roman" w:cs="Times New Roman"/>
          <w:sz w:val="28"/>
          <w:szCs w:val="28"/>
        </w:rPr>
        <w:t>: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93" w:rsidRPr="00C65BE8" w:rsidRDefault="000A4C93" w:rsidP="00C65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E8">
        <w:rPr>
          <w:rFonts w:ascii="Times New Roman" w:hAnsi="Times New Roman" w:cs="Times New Roman"/>
          <w:b/>
          <w:sz w:val="28"/>
          <w:szCs w:val="28"/>
        </w:rPr>
        <w:t>Competenze e ruoli</w:t>
      </w:r>
    </w:p>
    <w:p w:rsidR="000A4C93" w:rsidRPr="00C65BE8" w:rsidRDefault="000A4C93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Nel</w:t>
      </w:r>
      <w:r w:rsidR="004A305C" w:rsidRPr="00C65BE8">
        <w:rPr>
          <w:rFonts w:ascii="Times New Roman" w:hAnsi="Times New Roman" w:cs="Times New Roman"/>
          <w:sz w:val="28"/>
          <w:szCs w:val="28"/>
        </w:rPr>
        <w:t xml:space="preserve"> precedente</w:t>
      </w:r>
      <w:r w:rsidRPr="00C65BE8">
        <w:rPr>
          <w:rFonts w:ascii="Times New Roman" w:hAnsi="Times New Roman" w:cs="Times New Roman"/>
          <w:sz w:val="28"/>
          <w:szCs w:val="28"/>
        </w:rPr>
        <w:t xml:space="preserve"> quadro </w:t>
      </w:r>
      <w:r w:rsidR="004A305C" w:rsidRPr="00C65BE8">
        <w:rPr>
          <w:rFonts w:ascii="Times New Roman" w:hAnsi="Times New Roman" w:cs="Times New Roman"/>
          <w:sz w:val="28"/>
          <w:szCs w:val="28"/>
        </w:rPr>
        <w:t xml:space="preserve">normativo, in base all’assegnazione alle Regioni della competenza </w:t>
      </w:r>
      <w:r w:rsidR="00DF14C7" w:rsidRPr="00C65BE8">
        <w:rPr>
          <w:rFonts w:ascii="Times New Roman" w:hAnsi="Times New Roman" w:cs="Times New Roman"/>
          <w:sz w:val="28"/>
          <w:szCs w:val="28"/>
        </w:rPr>
        <w:t>d</w:t>
      </w:r>
      <w:r w:rsidR="004A305C" w:rsidRPr="00C65BE8">
        <w:rPr>
          <w:rFonts w:ascii="Times New Roman" w:hAnsi="Times New Roman" w:cs="Times New Roman"/>
          <w:sz w:val="28"/>
          <w:szCs w:val="28"/>
        </w:rPr>
        <w:t>el settore del commercio, il Mise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non</w:t>
      </w:r>
      <w:r w:rsidR="004A305C" w:rsidRPr="00C65BE8">
        <w:rPr>
          <w:rFonts w:ascii="Times New Roman" w:hAnsi="Times New Roman" w:cs="Times New Roman"/>
          <w:sz w:val="28"/>
          <w:szCs w:val="28"/>
        </w:rPr>
        <w:t xml:space="preserve"> aveva un ruolo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4A305C" w:rsidRPr="00C65BE8">
        <w:rPr>
          <w:rFonts w:ascii="Times New Roman" w:hAnsi="Times New Roman" w:cs="Times New Roman"/>
          <w:sz w:val="28"/>
          <w:szCs w:val="28"/>
        </w:rPr>
        <w:t>nella gestione dell’anagrafica degli impianti di distribuzione carburanti.</w:t>
      </w:r>
    </w:p>
    <w:p w:rsidR="00290D4E" w:rsidRPr="00C65BE8" w:rsidRDefault="00290D4E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lastRenderedPageBreak/>
        <w:t>Molte Regioni e Province Autonome hanno assegnato ai Comuni competenti per territorio l’esercizio delle funzioni amministrative relative agli impianti della rete ordinaria.</w:t>
      </w:r>
    </w:p>
    <w:p w:rsidR="004A305C" w:rsidRPr="00C65BE8" w:rsidRDefault="006775A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Di conseguenza i</w:t>
      </w:r>
      <w:r w:rsidR="004A305C" w:rsidRPr="00C65BE8">
        <w:rPr>
          <w:rFonts w:ascii="Times New Roman" w:hAnsi="Times New Roman" w:cs="Times New Roman"/>
          <w:sz w:val="28"/>
          <w:szCs w:val="28"/>
        </w:rPr>
        <w:t>l compito di gestire l’anagrafica degli impianti e il relativo sistema autorizzativo  era assegnato alle Regioni (</w:t>
      </w:r>
      <w:r w:rsidRPr="00C65BE8">
        <w:rPr>
          <w:rFonts w:ascii="Times New Roman" w:hAnsi="Times New Roman" w:cs="Times New Roman"/>
          <w:sz w:val="28"/>
          <w:szCs w:val="28"/>
        </w:rPr>
        <w:t>Indirizzo normativo e coordinamento) e ai Comuni (Funzioni Amministrative).</w:t>
      </w:r>
    </w:p>
    <w:p w:rsidR="006775A1" w:rsidRPr="00C65BE8" w:rsidRDefault="004A41F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</w:t>
      </w:r>
      <w:r w:rsidR="006775A1" w:rsidRPr="00C65BE8">
        <w:rPr>
          <w:rFonts w:ascii="Times New Roman" w:hAnsi="Times New Roman" w:cs="Times New Roman"/>
          <w:sz w:val="28"/>
          <w:szCs w:val="28"/>
        </w:rPr>
        <w:t xml:space="preserve"> configurazione prevista nella L. 124, </w:t>
      </w:r>
      <w:r>
        <w:rPr>
          <w:rFonts w:ascii="Times New Roman" w:hAnsi="Times New Roman" w:cs="Times New Roman"/>
          <w:sz w:val="28"/>
          <w:szCs w:val="28"/>
        </w:rPr>
        <w:t xml:space="preserve">ripartisce </w:t>
      </w:r>
      <w:r w:rsidR="006775A1" w:rsidRPr="00C65BE8">
        <w:rPr>
          <w:rFonts w:ascii="Times New Roman" w:hAnsi="Times New Roman" w:cs="Times New Roman"/>
          <w:sz w:val="28"/>
          <w:szCs w:val="28"/>
        </w:rPr>
        <w:t xml:space="preserve">le competenze </w:t>
      </w:r>
      <w:r>
        <w:rPr>
          <w:rFonts w:ascii="Times New Roman" w:hAnsi="Times New Roman" w:cs="Times New Roman"/>
          <w:sz w:val="28"/>
          <w:szCs w:val="28"/>
        </w:rPr>
        <w:t xml:space="preserve">amministrative </w:t>
      </w:r>
      <w:r w:rsidR="006775A1" w:rsidRPr="00C65BE8">
        <w:rPr>
          <w:rFonts w:ascii="Times New Roman" w:hAnsi="Times New Roman" w:cs="Times New Roman"/>
          <w:sz w:val="28"/>
          <w:szCs w:val="28"/>
        </w:rPr>
        <w:t>sugli impianti  tra il Mise (Gestione anagrafica) e i Comuni (Funzioni amministrative</w:t>
      </w:r>
      <w:r>
        <w:rPr>
          <w:rFonts w:ascii="Times New Roman" w:hAnsi="Times New Roman" w:cs="Times New Roman"/>
          <w:sz w:val="28"/>
          <w:szCs w:val="28"/>
        </w:rPr>
        <w:t xml:space="preserve"> autorizzative</w:t>
      </w:r>
      <w:r w:rsidR="006775A1" w:rsidRPr="00C65BE8">
        <w:rPr>
          <w:rFonts w:ascii="Times New Roman" w:hAnsi="Times New Roman" w:cs="Times New Roman"/>
          <w:sz w:val="28"/>
          <w:szCs w:val="28"/>
        </w:rPr>
        <w:t>).</w:t>
      </w:r>
    </w:p>
    <w:p w:rsidR="004A41F1" w:rsidRDefault="006775A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Le Regioni e alle Province Autonome si vedono assegnato un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ruolo marginale e di supporto , fatta eccezione per gli impianti </w:t>
      </w:r>
      <w:r w:rsidR="004A41F1">
        <w:rPr>
          <w:rFonts w:ascii="Times New Roman" w:hAnsi="Times New Roman" w:cs="Times New Roman"/>
          <w:sz w:val="28"/>
          <w:szCs w:val="28"/>
        </w:rPr>
        <w:t>della rete autostradale</w:t>
      </w:r>
      <w:r w:rsidR="00DF14C7" w:rsidRPr="00C65BE8">
        <w:rPr>
          <w:rFonts w:ascii="Times New Roman" w:hAnsi="Times New Roman" w:cs="Times New Roman"/>
          <w:sz w:val="28"/>
          <w:szCs w:val="28"/>
        </w:rPr>
        <w:t>.</w:t>
      </w:r>
    </w:p>
    <w:p w:rsidR="00F85B99" w:rsidRDefault="004A41F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F14C7" w:rsidRPr="00C65BE8">
        <w:rPr>
          <w:rFonts w:ascii="Times New Roman" w:hAnsi="Times New Roman" w:cs="Times New Roman"/>
          <w:sz w:val="28"/>
          <w:szCs w:val="28"/>
        </w:rPr>
        <w:t>i passa da un sistema dove i Comuni erano i titolari unici delle funzioni amministrative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 al nuovo assetto in cui </w:t>
      </w:r>
      <w:r w:rsidR="00F85B99">
        <w:rPr>
          <w:rFonts w:ascii="Times New Roman" w:hAnsi="Times New Roman" w:cs="Times New Roman"/>
          <w:sz w:val="28"/>
          <w:szCs w:val="28"/>
        </w:rPr>
        <w:t>le stesse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sono condivise con il Mise</w:t>
      </w:r>
      <w:r w:rsidR="00F85B99">
        <w:rPr>
          <w:rFonts w:ascii="Times New Roman" w:hAnsi="Times New Roman" w:cs="Times New Roman"/>
          <w:sz w:val="28"/>
          <w:szCs w:val="28"/>
        </w:rPr>
        <w:t xml:space="preserve"> soggetto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F85B99">
        <w:rPr>
          <w:rFonts w:ascii="Times New Roman" w:hAnsi="Times New Roman" w:cs="Times New Roman"/>
          <w:sz w:val="28"/>
          <w:szCs w:val="28"/>
        </w:rPr>
        <w:t>titolare</w:t>
      </w:r>
      <w:r w:rsidR="00DF14C7" w:rsidRPr="00C65BE8">
        <w:rPr>
          <w:rFonts w:ascii="Times New Roman" w:hAnsi="Times New Roman" w:cs="Times New Roman"/>
          <w:sz w:val="28"/>
          <w:szCs w:val="28"/>
        </w:rPr>
        <w:t xml:space="preserve"> della anagrafica degli impianti di distribuzione carburanti</w:t>
      </w:r>
      <w:r w:rsidR="009419BB">
        <w:rPr>
          <w:rFonts w:ascii="Times New Roman" w:hAnsi="Times New Roman" w:cs="Times New Roman"/>
          <w:sz w:val="28"/>
          <w:szCs w:val="28"/>
        </w:rPr>
        <w:t xml:space="preserve"> che sostanzialmente “condiziona” il</w:t>
      </w:r>
      <w:r w:rsidR="009419BB" w:rsidRPr="00C65BE8">
        <w:rPr>
          <w:rFonts w:ascii="Times New Roman" w:hAnsi="Times New Roman" w:cs="Times New Roman"/>
          <w:sz w:val="28"/>
          <w:szCs w:val="28"/>
        </w:rPr>
        <w:t xml:space="preserve"> rilascio del titolo autorizzativo</w:t>
      </w:r>
      <w:r w:rsidR="009419BB">
        <w:rPr>
          <w:rFonts w:ascii="Times New Roman" w:hAnsi="Times New Roman" w:cs="Times New Roman"/>
          <w:sz w:val="28"/>
          <w:szCs w:val="28"/>
        </w:rPr>
        <w:t>.</w:t>
      </w:r>
    </w:p>
    <w:p w:rsidR="00DF14C7" w:rsidRPr="004A41F1" w:rsidRDefault="00DF14C7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Infatti il comma 107 prevede che “l’iscrizione all’anagrafe è requisito fondamentale per la validità del titolo autorizzativo o </w:t>
      </w:r>
      <w:proofErr w:type="spellStart"/>
      <w:r w:rsidRPr="00C65BE8">
        <w:rPr>
          <w:rFonts w:ascii="Times New Roman" w:hAnsi="Times New Roman" w:cs="Times New Roman"/>
          <w:sz w:val="28"/>
          <w:szCs w:val="28"/>
        </w:rPr>
        <w:t>concessorio</w:t>
      </w:r>
      <w:proofErr w:type="spellEnd"/>
      <w:r w:rsidRPr="00C65BE8">
        <w:rPr>
          <w:rFonts w:ascii="Times New Roman" w:hAnsi="Times New Roman" w:cs="Times New Roman"/>
          <w:sz w:val="28"/>
          <w:szCs w:val="28"/>
        </w:rPr>
        <w:t>”.</w:t>
      </w:r>
      <w:r w:rsidR="009419BB">
        <w:rPr>
          <w:rFonts w:ascii="Times New Roman" w:hAnsi="Times New Roman" w:cs="Times New Roman"/>
          <w:sz w:val="28"/>
          <w:szCs w:val="28"/>
        </w:rPr>
        <w:t xml:space="preserve"> In sostanza è stato introdotto di fatto un sistema duale.</w:t>
      </w:r>
    </w:p>
    <w:p w:rsidR="00F85B99" w:rsidRDefault="00F85B99" w:rsidP="00C65B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05C" w:rsidRPr="00C65BE8" w:rsidRDefault="004A305C" w:rsidP="00C65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E8">
        <w:rPr>
          <w:rFonts w:ascii="Times New Roman" w:hAnsi="Times New Roman" w:cs="Times New Roman"/>
          <w:b/>
          <w:sz w:val="28"/>
          <w:szCs w:val="28"/>
        </w:rPr>
        <w:t>Incompatibilità</w:t>
      </w:r>
    </w:p>
    <w:p w:rsidR="00796724" w:rsidRPr="00C65BE8" w:rsidRDefault="00653BE5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La Legge  124 di fatto supera le precedenti normative regionali , relativamente agli aspetti di incompatibilità attinenti alla sicurezza della circolazione stradale, ma più in generale “a</w:t>
      </w:r>
      <w:r w:rsidR="00880C99" w:rsidRPr="00C65BE8">
        <w:rPr>
          <w:rFonts w:ascii="Times New Roman" w:hAnsi="Times New Roman" w:cs="Times New Roman"/>
          <w:sz w:val="28"/>
          <w:szCs w:val="28"/>
        </w:rPr>
        <w:t>ssegna</w:t>
      </w:r>
      <w:r w:rsidRPr="00C65BE8">
        <w:rPr>
          <w:rFonts w:ascii="Times New Roman" w:hAnsi="Times New Roman" w:cs="Times New Roman"/>
          <w:sz w:val="28"/>
          <w:szCs w:val="28"/>
        </w:rPr>
        <w:t xml:space="preserve"> “ al Mise una gestione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 prevalente in materia di </w:t>
      </w:r>
      <w:r w:rsidRPr="00C65BE8">
        <w:rPr>
          <w:rFonts w:ascii="Times New Roman" w:hAnsi="Times New Roman" w:cs="Times New Roman"/>
          <w:sz w:val="28"/>
          <w:szCs w:val="28"/>
        </w:rPr>
        <w:t>incompatibilità</w:t>
      </w:r>
      <w:r w:rsidR="00596B28" w:rsidRPr="00C65BE8">
        <w:rPr>
          <w:rFonts w:ascii="Times New Roman" w:hAnsi="Times New Roman" w:cs="Times New Roman"/>
          <w:sz w:val="28"/>
          <w:szCs w:val="28"/>
        </w:rPr>
        <w:t>.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4E" w:rsidRPr="00C65BE8" w:rsidRDefault="00290D4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A</w:t>
      </w:r>
      <w:r w:rsidR="00620570">
        <w:rPr>
          <w:rFonts w:ascii="Times New Roman" w:hAnsi="Times New Roman" w:cs="Times New Roman"/>
          <w:sz w:val="28"/>
          <w:szCs w:val="28"/>
        </w:rPr>
        <w:t>l</w:t>
      </w:r>
      <w:r w:rsidRPr="00C65BE8">
        <w:rPr>
          <w:rFonts w:ascii="Times New Roman" w:hAnsi="Times New Roman" w:cs="Times New Roman"/>
          <w:sz w:val="28"/>
          <w:szCs w:val="28"/>
        </w:rPr>
        <w:t xml:space="preserve"> riguardo, è opportuno ricordare che la disciplina della sicurezza della circolazione stradale è di “</w:t>
      </w:r>
      <w:r w:rsidRPr="00C65BE8">
        <w:rPr>
          <w:rFonts w:ascii="Times New Roman" w:hAnsi="Times New Roman" w:cs="Times New Roman"/>
          <w:i/>
          <w:sz w:val="28"/>
          <w:szCs w:val="28"/>
        </w:rPr>
        <w:t>esclusiva spettanza dello Stato</w:t>
      </w:r>
      <w:r w:rsidRPr="00C65BE8">
        <w:rPr>
          <w:rFonts w:ascii="Times New Roman" w:hAnsi="Times New Roman" w:cs="Times New Roman"/>
          <w:sz w:val="28"/>
          <w:szCs w:val="28"/>
        </w:rPr>
        <w:t>”, come evidenziato dalla Corte Costituzionale proprio in materia di impianti incompatibili con Sentenza n. 428 del 29/12/2004 e n. 183 del 12/7/2013.</w:t>
      </w:r>
    </w:p>
    <w:p w:rsidR="00290D4E" w:rsidRPr="00C65BE8" w:rsidRDefault="00290D4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D4E" w:rsidRPr="00C65BE8" w:rsidRDefault="00290D4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Pertanto, le disposizioni di cui ai commi 112 e 113 dell’art. 1 della Legge n. 124/2017 superano, </w:t>
      </w:r>
      <w:r w:rsidR="00596B28" w:rsidRPr="00C65BE8">
        <w:rPr>
          <w:rFonts w:ascii="Times New Roman" w:hAnsi="Times New Roman" w:cs="Times New Roman"/>
          <w:sz w:val="28"/>
          <w:szCs w:val="28"/>
        </w:rPr>
        <w:t>negli</w:t>
      </w:r>
      <w:r w:rsidRPr="00C65BE8">
        <w:rPr>
          <w:rFonts w:ascii="Times New Roman" w:hAnsi="Times New Roman" w:cs="Times New Roman"/>
          <w:sz w:val="28"/>
          <w:szCs w:val="28"/>
        </w:rPr>
        <w:t xml:space="preserve"> aspetti attinenti alla sicurezza della circolazione stradale, le normative regionali in materia.</w:t>
      </w:r>
      <w:r w:rsidR="009419BB">
        <w:rPr>
          <w:rFonts w:ascii="Times New Roman" w:hAnsi="Times New Roman" w:cs="Times New Roman"/>
          <w:sz w:val="28"/>
          <w:szCs w:val="28"/>
        </w:rPr>
        <w:t xml:space="preserve"> Quali ad esempio le materie connesse agli aspetti igienico/sanitari, ambientali ecc..</w:t>
      </w:r>
    </w:p>
    <w:p w:rsidR="00290D4E" w:rsidRPr="00C65BE8" w:rsidRDefault="00290D4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D4E" w:rsidRPr="00C65BE8" w:rsidRDefault="002B2E7D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P</w:t>
      </w:r>
      <w:r w:rsidR="00290D4E" w:rsidRPr="00C65BE8">
        <w:rPr>
          <w:rFonts w:ascii="Times New Roman" w:hAnsi="Times New Roman" w:cs="Times New Roman"/>
          <w:sz w:val="28"/>
          <w:szCs w:val="28"/>
        </w:rPr>
        <w:t>rima della entrata in vigore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 della L. 124</w:t>
      </w:r>
      <w:r w:rsidR="00290D4E" w:rsidRPr="00C65BE8">
        <w:rPr>
          <w:rFonts w:ascii="Times New Roman" w:hAnsi="Times New Roman" w:cs="Times New Roman"/>
          <w:sz w:val="28"/>
          <w:szCs w:val="28"/>
        </w:rPr>
        <w:t>,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 in ragione delle proprie competenze in materia di commercio,</w:t>
      </w:r>
      <w:r w:rsidR="00290D4E" w:rsidRPr="00C65BE8">
        <w:rPr>
          <w:rFonts w:ascii="Times New Roman" w:hAnsi="Times New Roman" w:cs="Times New Roman"/>
          <w:sz w:val="28"/>
          <w:szCs w:val="28"/>
        </w:rPr>
        <w:t xml:space="preserve"> l’incompatibilità degli impianti di distribuzione carburanti della rete stradale e autostradale era disciplinata 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interamente </w:t>
      </w:r>
      <w:r w:rsidR="00290D4E" w:rsidRPr="00C65BE8">
        <w:rPr>
          <w:rFonts w:ascii="Times New Roman" w:hAnsi="Times New Roman" w:cs="Times New Roman"/>
          <w:sz w:val="28"/>
          <w:szCs w:val="28"/>
        </w:rPr>
        <w:t xml:space="preserve">dalle norme delle Regioni e delle Province Autonome, </w:t>
      </w:r>
    </w:p>
    <w:p w:rsidR="00290D4E" w:rsidRPr="00C65BE8" w:rsidRDefault="002B2E7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lastRenderedPageBreak/>
        <w:t>Un inciso r</w:t>
      </w:r>
      <w:r w:rsidR="00290D4E" w:rsidRPr="00C65BE8">
        <w:rPr>
          <w:rFonts w:ascii="Times New Roman" w:hAnsi="Times New Roman" w:cs="Times New Roman"/>
          <w:sz w:val="28"/>
          <w:szCs w:val="28"/>
        </w:rPr>
        <w:t>esta ferma la facoltà delle Regioni di poter individuare altre fattispecie di incompatibilità, purché non attinenti a materie sottoposte alla potestà legislativa esclusiva dello Stato.</w:t>
      </w:r>
    </w:p>
    <w:p w:rsidR="00290D4E" w:rsidRPr="00C65BE8" w:rsidRDefault="00290D4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505" w:rsidRPr="00C65BE8" w:rsidRDefault="00187505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BE5" w:rsidRPr="00C65BE8" w:rsidRDefault="00653BE5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Il rischio di difformità </w:t>
      </w:r>
      <w:r w:rsidR="00606769" w:rsidRPr="00C65BE8">
        <w:rPr>
          <w:rFonts w:ascii="Times New Roman" w:hAnsi="Times New Roman" w:cs="Times New Roman"/>
          <w:sz w:val="28"/>
          <w:szCs w:val="28"/>
        </w:rPr>
        <w:t xml:space="preserve">, soprattutto nella fase transitoria, </w:t>
      </w:r>
      <w:r w:rsidRPr="00C65BE8">
        <w:rPr>
          <w:rFonts w:ascii="Times New Roman" w:hAnsi="Times New Roman" w:cs="Times New Roman"/>
          <w:sz w:val="28"/>
          <w:szCs w:val="28"/>
        </w:rPr>
        <w:t xml:space="preserve"> tra le normative regionali in essere e le indicazioni contenute nella legge 124</w:t>
      </w:r>
      <w:r w:rsidR="002B2E7D" w:rsidRPr="00C65BE8">
        <w:rPr>
          <w:rFonts w:ascii="Times New Roman" w:hAnsi="Times New Roman" w:cs="Times New Roman"/>
          <w:sz w:val="28"/>
          <w:szCs w:val="28"/>
        </w:rPr>
        <w:t xml:space="preserve"> ai commi 112 e 113 </w:t>
      </w:r>
      <w:r w:rsidRPr="00C65BE8">
        <w:rPr>
          <w:rFonts w:ascii="Times New Roman" w:hAnsi="Times New Roman" w:cs="Times New Roman"/>
          <w:sz w:val="28"/>
          <w:szCs w:val="28"/>
        </w:rPr>
        <w:t xml:space="preserve"> sono apparse evidenti a tutti gli addetti del settore</w:t>
      </w:r>
      <w:r w:rsidR="00880C99" w:rsidRPr="00C65BE8">
        <w:rPr>
          <w:rFonts w:ascii="Times New Roman" w:hAnsi="Times New Roman" w:cs="Times New Roman"/>
          <w:sz w:val="28"/>
          <w:szCs w:val="28"/>
        </w:rPr>
        <w:t>.</w:t>
      </w:r>
    </w:p>
    <w:p w:rsidR="00880C99" w:rsidRPr="00C65BE8" w:rsidRDefault="00880C99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Era necessario predisporre un accordo tra tutte le Amministrazioni interessate ( Governo, Regioni e Province autonome e gli Enti Locali) al fine </w:t>
      </w:r>
      <w:r w:rsidR="00EC7402" w:rsidRPr="00C65BE8">
        <w:rPr>
          <w:rFonts w:ascii="Times New Roman" w:hAnsi="Times New Roman" w:cs="Times New Roman"/>
          <w:sz w:val="28"/>
          <w:szCs w:val="28"/>
        </w:rPr>
        <w:t xml:space="preserve">di armonizzare le varie norme regionali in essere con la L.  124 , </w:t>
      </w:r>
      <w:r w:rsidR="003C575E" w:rsidRPr="00C65BE8">
        <w:rPr>
          <w:rFonts w:ascii="Times New Roman" w:hAnsi="Times New Roman" w:cs="Times New Roman"/>
          <w:sz w:val="28"/>
          <w:szCs w:val="28"/>
        </w:rPr>
        <w:t xml:space="preserve">ridurre </w:t>
      </w:r>
      <w:r w:rsidR="00EC7402" w:rsidRPr="00C65BE8">
        <w:rPr>
          <w:rFonts w:ascii="Times New Roman" w:hAnsi="Times New Roman" w:cs="Times New Roman"/>
          <w:sz w:val="28"/>
          <w:szCs w:val="28"/>
        </w:rPr>
        <w:t xml:space="preserve">gli spazi ai </w:t>
      </w:r>
      <w:r w:rsidRPr="00C65BE8">
        <w:rPr>
          <w:rFonts w:ascii="Times New Roman" w:hAnsi="Times New Roman" w:cs="Times New Roman"/>
          <w:sz w:val="28"/>
          <w:szCs w:val="28"/>
        </w:rPr>
        <w:t xml:space="preserve">dubbi interpretativi </w:t>
      </w:r>
      <w:r w:rsidR="00EC7402" w:rsidRPr="00C65BE8">
        <w:rPr>
          <w:rFonts w:ascii="Times New Roman" w:hAnsi="Times New Roman" w:cs="Times New Roman"/>
          <w:sz w:val="28"/>
          <w:szCs w:val="28"/>
        </w:rPr>
        <w:t xml:space="preserve">in modo da evitare </w:t>
      </w:r>
      <w:r w:rsidR="003C575E" w:rsidRPr="00C65BE8">
        <w:rPr>
          <w:rFonts w:ascii="Times New Roman" w:hAnsi="Times New Roman" w:cs="Times New Roman"/>
          <w:sz w:val="28"/>
          <w:szCs w:val="28"/>
        </w:rPr>
        <w:t xml:space="preserve"> le conseguenti  situazioni di contenzioso con </w:t>
      </w:r>
      <w:r w:rsidR="007F4A9F" w:rsidRPr="00C65BE8">
        <w:rPr>
          <w:rFonts w:ascii="Times New Roman" w:hAnsi="Times New Roman" w:cs="Times New Roman"/>
          <w:sz w:val="28"/>
          <w:szCs w:val="28"/>
        </w:rPr>
        <w:t>i titolari de</w:t>
      </w:r>
      <w:r w:rsidR="003C575E" w:rsidRPr="00C65BE8">
        <w:rPr>
          <w:rFonts w:ascii="Times New Roman" w:hAnsi="Times New Roman" w:cs="Times New Roman"/>
          <w:sz w:val="28"/>
          <w:szCs w:val="28"/>
        </w:rPr>
        <w:t>gli impianti a cui pote</w:t>
      </w:r>
      <w:r w:rsidR="007F4A9F" w:rsidRPr="00C65BE8">
        <w:rPr>
          <w:rFonts w:ascii="Times New Roman" w:hAnsi="Times New Roman" w:cs="Times New Roman"/>
          <w:sz w:val="28"/>
          <w:szCs w:val="28"/>
        </w:rPr>
        <w:t>va essere revocato</w:t>
      </w:r>
      <w:r w:rsidR="003C575E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B31512" w:rsidRPr="00C65BE8">
        <w:rPr>
          <w:rFonts w:ascii="Times New Roman" w:hAnsi="Times New Roman" w:cs="Times New Roman"/>
          <w:sz w:val="28"/>
          <w:szCs w:val="28"/>
        </w:rPr>
        <w:t>il titolo autorizzativo.</w:t>
      </w:r>
    </w:p>
    <w:p w:rsidR="00B31512" w:rsidRPr="00C65BE8" w:rsidRDefault="00B31512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Con questa </w:t>
      </w:r>
      <w:r w:rsidR="00606769" w:rsidRPr="00C65BE8">
        <w:rPr>
          <w:rFonts w:ascii="Times New Roman" w:hAnsi="Times New Roman" w:cs="Times New Roman"/>
          <w:sz w:val="28"/>
          <w:szCs w:val="28"/>
        </w:rPr>
        <w:t>priorità</w:t>
      </w:r>
      <w:r w:rsidRPr="00C65BE8">
        <w:rPr>
          <w:rFonts w:ascii="Times New Roman" w:hAnsi="Times New Roman" w:cs="Times New Roman"/>
          <w:sz w:val="28"/>
          <w:szCs w:val="28"/>
        </w:rPr>
        <w:t xml:space="preserve"> il Mise, la Conferenza delle Regioni e delle Province Autonome e l’Anci hanno aperto un tavolo permanete per la predisposizione di un accordo</w:t>
      </w:r>
      <w:r w:rsidR="007F4A9F" w:rsidRPr="00C65BE8">
        <w:rPr>
          <w:rFonts w:ascii="Times New Roman" w:hAnsi="Times New Roman" w:cs="Times New Roman"/>
          <w:sz w:val="28"/>
          <w:szCs w:val="28"/>
        </w:rPr>
        <w:t xml:space="preserve"> con l’obiettivo di definire e concordare </w:t>
      </w:r>
      <w:r w:rsidRPr="00C65BE8">
        <w:rPr>
          <w:rFonts w:ascii="Times New Roman" w:hAnsi="Times New Roman" w:cs="Times New Roman"/>
          <w:sz w:val="28"/>
          <w:szCs w:val="28"/>
        </w:rPr>
        <w:t xml:space="preserve">una serie di 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termini  capaci di meglio regolare i contenuti della </w:t>
      </w:r>
      <w:r w:rsidRPr="00C65BE8">
        <w:rPr>
          <w:rFonts w:ascii="Times New Roman" w:hAnsi="Times New Roman" w:cs="Times New Roman"/>
          <w:sz w:val="28"/>
          <w:szCs w:val="28"/>
        </w:rPr>
        <w:t xml:space="preserve"> legge n. 124/2017.</w:t>
      </w:r>
    </w:p>
    <w:p w:rsidR="00B31512" w:rsidRPr="00C65BE8" w:rsidRDefault="00B31512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Per quanto riguarda la Conferenza delle Regione e delle Province Autonome </w:t>
      </w:r>
      <w:r w:rsidR="005C5144" w:rsidRPr="00C65BE8">
        <w:rPr>
          <w:rFonts w:ascii="Times New Roman" w:hAnsi="Times New Roman" w:cs="Times New Roman"/>
          <w:sz w:val="28"/>
          <w:szCs w:val="28"/>
        </w:rPr>
        <w:t>, la predisposizione dell’accordo è stato a livello tecnico affidata al Gruppo ristretto del settore carburanti .</w:t>
      </w:r>
    </w:p>
    <w:p w:rsidR="007F4A9F" w:rsidRPr="00C65BE8" w:rsidRDefault="005F5197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Il metodo da utilizzare era </w:t>
      </w:r>
      <w:r w:rsidR="006E7E1D" w:rsidRPr="00C65BE8">
        <w:rPr>
          <w:rFonts w:ascii="Times New Roman" w:hAnsi="Times New Roman" w:cs="Times New Roman"/>
          <w:sz w:val="28"/>
          <w:szCs w:val="28"/>
        </w:rPr>
        <w:t xml:space="preserve">quello già sperimentato </w:t>
      </w:r>
      <w:r w:rsidR="00B0593F" w:rsidRPr="00C65BE8">
        <w:rPr>
          <w:rFonts w:ascii="Times New Roman" w:hAnsi="Times New Roman" w:cs="Times New Roman"/>
          <w:sz w:val="28"/>
          <w:szCs w:val="28"/>
        </w:rPr>
        <w:t>in occasione</w:t>
      </w:r>
      <w:r w:rsidR="008F4BB9" w:rsidRPr="00C65BE8">
        <w:rPr>
          <w:rFonts w:ascii="Times New Roman" w:hAnsi="Times New Roman" w:cs="Times New Roman"/>
          <w:sz w:val="28"/>
          <w:szCs w:val="28"/>
        </w:rPr>
        <w:t xml:space="preserve"> della definizione e successiva approvazione delle “Linee guida per il recepimento </w:t>
      </w:r>
      <w:r w:rsidR="00B0593F" w:rsidRPr="00C65BE8">
        <w:rPr>
          <w:rFonts w:ascii="Times New Roman" w:hAnsi="Times New Roman" w:cs="Times New Roman"/>
          <w:sz w:val="28"/>
          <w:szCs w:val="28"/>
        </w:rPr>
        <w:t xml:space="preserve">della Legge </w:t>
      </w:r>
      <w:r w:rsidR="008F4BB9" w:rsidRPr="00C65BE8">
        <w:rPr>
          <w:rFonts w:ascii="Times New Roman" w:hAnsi="Times New Roman" w:cs="Times New Roman"/>
          <w:sz w:val="28"/>
          <w:szCs w:val="28"/>
        </w:rPr>
        <w:t xml:space="preserve">257/2016 </w:t>
      </w:r>
      <w:r w:rsidR="005E6446" w:rsidRPr="00C65BE8">
        <w:rPr>
          <w:rFonts w:ascii="Times New Roman" w:hAnsi="Times New Roman" w:cs="Times New Roman"/>
          <w:sz w:val="28"/>
          <w:szCs w:val="28"/>
        </w:rPr>
        <w:t>“ norma emanata in attuazione della direttiva europea denominata “DAFI”.</w:t>
      </w:r>
      <w:r w:rsidR="00B0593F" w:rsidRPr="00C65B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7ED" w:rsidRPr="00C65BE8" w:rsidRDefault="005827ED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Un tavolo tecnico</w:t>
      </w:r>
      <w:r w:rsidR="002A31EA" w:rsidRPr="00C65BE8">
        <w:rPr>
          <w:rFonts w:ascii="Times New Roman" w:hAnsi="Times New Roman" w:cs="Times New Roman"/>
          <w:sz w:val="28"/>
          <w:szCs w:val="28"/>
        </w:rPr>
        <w:t xml:space="preserve"> permanente</w:t>
      </w:r>
      <w:r w:rsidRPr="00C65BE8">
        <w:rPr>
          <w:rFonts w:ascii="Times New Roman" w:hAnsi="Times New Roman" w:cs="Times New Roman"/>
          <w:sz w:val="28"/>
          <w:szCs w:val="28"/>
        </w:rPr>
        <w:t xml:space="preserve"> a cui , al di là dei diversi ruoli ricoperti, partecipassero tutti i soggetti interessati dal provvedimento : Mise, Regioni e Province Autonome , Enti Locali e Associazioni 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di categoria e di settore </w:t>
      </w:r>
      <w:r w:rsidR="00FB3CD1" w:rsidRPr="00C65BE8">
        <w:rPr>
          <w:rFonts w:ascii="Times New Roman" w:hAnsi="Times New Roman" w:cs="Times New Roman"/>
          <w:sz w:val="28"/>
          <w:szCs w:val="28"/>
        </w:rPr>
        <w:t>interessate</w:t>
      </w:r>
      <w:r w:rsidR="00007D5F" w:rsidRPr="00C65BE8">
        <w:rPr>
          <w:rFonts w:ascii="Times New Roman" w:hAnsi="Times New Roman" w:cs="Times New Roman"/>
          <w:sz w:val="28"/>
          <w:szCs w:val="28"/>
        </w:rPr>
        <w:t>. Andava elaborato</w:t>
      </w:r>
      <w:r w:rsidR="00FB3CD1" w:rsidRPr="00C65BE8">
        <w:rPr>
          <w:rFonts w:ascii="Times New Roman" w:hAnsi="Times New Roman" w:cs="Times New Roman"/>
          <w:sz w:val="28"/>
          <w:szCs w:val="28"/>
        </w:rPr>
        <w:t>, attraverso il metodo della condivisione nelle scelte interpretative  (e se me lo consentite del buonsenso) delle linee guida finalizzate all’adozione di provvedimenti , anche su base regionale, omogenei e validi su tutto il territorio nazionale.</w:t>
      </w:r>
    </w:p>
    <w:p w:rsidR="00FB3CD1" w:rsidRPr="00C65BE8" w:rsidRDefault="00FB3CD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Il lavoro tra i </w:t>
      </w:r>
      <w:r w:rsidR="002A31EA" w:rsidRPr="00C65BE8">
        <w:rPr>
          <w:rFonts w:ascii="Times New Roman" w:hAnsi="Times New Roman" w:cs="Times New Roman"/>
          <w:sz w:val="28"/>
          <w:szCs w:val="28"/>
        </w:rPr>
        <w:t>“</w:t>
      </w:r>
      <w:r w:rsidRPr="00C65BE8">
        <w:rPr>
          <w:rFonts w:ascii="Times New Roman" w:hAnsi="Times New Roman" w:cs="Times New Roman"/>
          <w:sz w:val="28"/>
          <w:szCs w:val="28"/>
        </w:rPr>
        <w:t>soggetti pubblici</w:t>
      </w:r>
      <w:r w:rsidR="002A31EA" w:rsidRPr="00C65BE8">
        <w:rPr>
          <w:rFonts w:ascii="Times New Roman" w:hAnsi="Times New Roman" w:cs="Times New Roman"/>
          <w:sz w:val="28"/>
          <w:szCs w:val="28"/>
        </w:rPr>
        <w:t>”</w:t>
      </w:r>
      <w:r w:rsidRPr="00C65BE8">
        <w:rPr>
          <w:rFonts w:ascii="Times New Roman" w:hAnsi="Times New Roman" w:cs="Times New Roman"/>
          <w:sz w:val="28"/>
          <w:szCs w:val="28"/>
        </w:rPr>
        <w:t xml:space="preserve"> coinvolti è stato  proficuo</w:t>
      </w:r>
      <w:r w:rsidR="00620570">
        <w:rPr>
          <w:rFonts w:ascii="Times New Roman" w:hAnsi="Times New Roman" w:cs="Times New Roman"/>
          <w:sz w:val="28"/>
          <w:szCs w:val="28"/>
        </w:rPr>
        <w:t>,</w:t>
      </w:r>
      <w:r w:rsidR="002A31EA" w:rsidRPr="00C65BE8">
        <w:rPr>
          <w:rFonts w:ascii="Times New Roman" w:hAnsi="Times New Roman" w:cs="Times New Roman"/>
          <w:sz w:val="28"/>
          <w:szCs w:val="28"/>
        </w:rPr>
        <w:t xml:space="preserve"> la logica di risolvere i problemi e stata prevalente rispetto alla 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“tutela” </w:t>
      </w:r>
      <w:r w:rsidR="002A31EA" w:rsidRPr="00C65BE8">
        <w:rPr>
          <w:rFonts w:ascii="Times New Roman" w:hAnsi="Times New Roman" w:cs="Times New Roman"/>
          <w:sz w:val="28"/>
          <w:szCs w:val="28"/>
        </w:rPr>
        <w:t>delle proprie specificità.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 E’ un risultato che </w:t>
      </w:r>
      <w:r w:rsidR="00007D5F" w:rsidRPr="00C65BE8">
        <w:rPr>
          <w:rFonts w:ascii="Times New Roman" w:hAnsi="Times New Roman" w:cs="Times New Roman"/>
          <w:sz w:val="28"/>
          <w:szCs w:val="28"/>
        </w:rPr>
        <w:t>va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 sottolinea</w:t>
      </w:r>
      <w:r w:rsidR="00007D5F" w:rsidRPr="00C65BE8">
        <w:rPr>
          <w:rFonts w:ascii="Times New Roman" w:hAnsi="Times New Roman" w:cs="Times New Roman"/>
          <w:sz w:val="28"/>
          <w:szCs w:val="28"/>
        </w:rPr>
        <w:t>to</w:t>
      </w:r>
      <w:r w:rsidR="00620570">
        <w:rPr>
          <w:rFonts w:ascii="Times New Roman" w:hAnsi="Times New Roman" w:cs="Times New Roman"/>
          <w:sz w:val="28"/>
          <w:szCs w:val="28"/>
        </w:rPr>
        <w:t>,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 perché non sempre 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tra 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 pubbliche amministrazioni 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si </w:t>
      </w:r>
      <w:r w:rsidR="008955CB" w:rsidRPr="00C65BE8">
        <w:rPr>
          <w:rFonts w:ascii="Times New Roman" w:hAnsi="Times New Roman" w:cs="Times New Roman"/>
          <w:sz w:val="28"/>
          <w:szCs w:val="28"/>
        </w:rPr>
        <w:t>riesc</w:t>
      </w:r>
      <w:r w:rsidR="00007D5F" w:rsidRPr="00C65BE8">
        <w:rPr>
          <w:rFonts w:ascii="Times New Roman" w:hAnsi="Times New Roman" w:cs="Times New Roman"/>
          <w:sz w:val="28"/>
          <w:szCs w:val="28"/>
        </w:rPr>
        <w:t>e</w:t>
      </w:r>
      <w:r w:rsidR="008955CB" w:rsidRPr="00C65BE8">
        <w:rPr>
          <w:rFonts w:ascii="Times New Roman" w:hAnsi="Times New Roman" w:cs="Times New Roman"/>
          <w:sz w:val="28"/>
          <w:szCs w:val="28"/>
        </w:rPr>
        <w:t xml:space="preserve"> a </w:t>
      </w:r>
      <w:r w:rsidR="000B1E4E" w:rsidRPr="00C65BE8">
        <w:rPr>
          <w:rFonts w:ascii="Times New Roman" w:hAnsi="Times New Roman" w:cs="Times New Roman"/>
          <w:sz w:val="28"/>
          <w:szCs w:val="28"/>
        </w:rPr>
        <w:t>definire e sottoscrivere testi di accordi.</w:t>
      </w:r>
    </w:p>
    <w:p w:rsidR="005C5144" w:rsidRPr="00C65BE8" w:rsidRDefault="000B1E4E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Voglio sottolineare i</w:t>
      </w:r>
      <w:r w:rsidR="005C5144" w:rsidRPr="00C65BE8">
        <w:rPr>
          <w:rFonts w:ascii="Times New Roman" w:hAnsi="Times New Roman" w:cs="Times New Roman"/>
          <w:sz w:val="28"/>
          <w:szCs w:val="28"/>
        </w:rPr>
        <w:t xml:space="preserve">noltre </w:t>
      </w:r>
      <w:r w:rsidRPr="00C65BE8">
        <w:rPr>
          <w:rFonts w:ascii="Times New Roman" w:hAnsi="Times New Roman" w:cs="Times New Roman"/>
          <w:sz w:val="28"/>
          <w:szCs w:val="28"/>
        </w:rPr>
        <w:t xml:space="preserve">come </w:t>
      </w:r>
      <w:r w:rsidR="005C5144" w:rsidRPr="00C65BE8">
        <w:rPr>
          <w:rFonts w:ascii="Times New Roman" w:hAnsi="Times New Roman" w:cs="Times New Roman"/>
          <w:sz w:val="28"/>
          <w:szCs w:val="28"/>
        </w:rPr>
        <w:t xml:space="preserve">nelle varie fasi di predisposizione del testo, sono stati </w:t>
      </w:r>
      <w:r w:rsidRPr="00C65BE8">
        <w:rPr>
          <w:rFonts w:ascii="Times New Roman" w:hAnsi="Times New Roman" w:cs="Times New Roman"/>
          <w:sz w:val="28"/>
          <w:szCs w:val="28"/>
        </w:rPr>
        <w:t xml:space="preserve">organizzati </w:t>
      </w:r>
      <w:r w:rsidR="005C5144" w:rsidRPr="00C65BE8">
        <w:rPr>
          <w:rFonts w:ascii="Times New Roman" w:hAnsi="Times New Roman" w:cs="Times New Roman"/>
          <w:sz w:val="28"/>
          <w:szCs w:val="28"/>
        </w:rPr>
        <w:t xml:space="preserve"> incontri con le principali associazi</w:t>
      </w:r>
      <w:r w:rsidRPr="00C65BE8">
        <w:rPr>
          <w:rFonts w:ascii="Times New Roman" w:hAnsi="Times New Roman" w:cs="Times New Roman"/>
          <w:sz w:val="28"/>
          <w:szCs w:val="28"/>
        </w:rPr>
        <w:t xml:space="preserve">oni </w:t>
      </w:r>
      <w:r w:rsidR="00007D5F" w:rsidRPr="00C65BE8">
        <w:rPr>
          <w:rFonts w:ascii="Times New Roman" w:hAnsi="Times New Roman" w:cs="Times New Roman"/>
          <w:sz w:val="28"/>
          <w:szCs w:val="28"/>
        </w:rPr>
        <w:t xml:space="preserve">di categorie e </w:t>
      </w:r>
      <w:r w:rsidRPr="00C65BE8">
        <w:rPr>
          <w:rFonts w:ascii="Times New Roman" w:hAnsi="Times New Roman" w:cs="Times New Roman"/>
          <w:sz w:val="28"/>
          <w:szCs w:val="28"/>
        </w:rPr>
        <w:t>d</w:t>
      </w:r>
      <w:r w:rsidR="00007D5F" w:rsidRPr="00C65BE8">
        <w:rPr>
          <w:rFonts w:ascii="Times New Roman" w:hAnsi="Times New Roman" w:cs="Times New Roman"/>
          <w:sz w:val="28"/>
          <w:szCs w:val="28"/>
        </w:rPr>
        <w:t>i</w:t>
      </w:r>
      <w:r w:rsidRPr="00C65BE8">
        <w:rPr>
          <w:rFonts w:ascii="Times New Roman" w:hAnsi="Times New Roman" w:cs="Times New Roman"/>
          <w:sz w:val="28"/>
          <w:szCs w:val="28"/>
        </w:rPr>
        <w:t xml:space="preserve"> settore e numerosi sono stati gli scambi di documentazione in itinere</w:t>
      </w:r>
      <w:r w:rsidR="005C5144" w:rsidRPr="00C65BE8">
        <w:rPr>
          <w:rFonts w:ascii="Times New Roman" w:hAnsi="Times New Roman" w:cs="Times New Roman"/>
          <w:sz w:val="28"/>
          <w:szCs w:val="28"/>
        </w:rPr>
        <w:t>.</w:t>
      </w:r>
    </w:p>
    <w:p w:rsidR="005C5144" w:rsidRPr="00C65BE8" w:rsidRDefault="005C5144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lastRenderedPageBreak/>
        <w:t>Il testo è stato quindi fortemente condiviso e nel suo testo finale valutato positivamente da tutti i soggetti coinvolti</w:t>
      </w:r>
    </w:p>
    <w:p w:rsidR="005C5144" w:rsidRPr="00C65BE8" w:rsidRDefault="005C5144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Con la seduta dell’8 marzo 2018 la Conferenza Unificata ha sancito l’accordo tra il Governo, Le Regioni e Province autonome e gli E</w:t>
      </w:r>
      <w:r w:rsidR="001A45B9" w:rsidRPr="00C65BE8">
        <w:rPr>
          <w:rFonts w:ascii="Times New Roman" w:hAnsi="Times New Roman" w:cs="Times New Roman"/>
          <w:sz w:val="28"/>
          <w:szCs w:val="28"/>
        </w:rPr>
        <w:t>nti Locali in attuazi</w:t>
      </w:r>
      <w:r w:rsidR="00673B7E" w:rsidRPr="00C65BE8">
        <w:rPr>
          <w:rFonts w:ascii="Times New Roman" w:hAnsi="Times New Roman" w:cs="Times New Roman"/>
          <w:sz w:val="28"/>
          <w:szCs w:val="28"/>
        </w:rPr>
        <w:t>o</w:t>
      </w:r>
      <w:r w:rsidR="001A45B9" w:rsidRPr="00C65BE8">
        <w:rPr>
          <w:rFonts w:ascii="Times New Roman" w:hAnsi="Times New Roman" w:cs="Times New Roman"/>
          <w:sz w:val="28"/>
          <w:szCs w:val="28"/>
        </w:rPr>
        <w:t>ne dell’articolo 1, commi 98-119 della L. 124/2017.</w:t>
      </w:r>
    </w:p>
    <w:p w:rsidR="000C4781" w:rsidRPr="00C65BE8" w:rsidRDefault="000C4781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5E" w:rsidRPr="00C65BE8" w:rsidRDefault="001A45B9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Voglio </w:t>
      </w:r>
      <w:r w:rsidR="005F5197" w:rsidRPr="00C65BE8">
        <w:rPr>
          <w:rFonts w:ascii="Times New Roman" w:hAnsi="Times New Roman" w:cs="Times New Roman"/>
          <w:sz w:val="28"/>
          <w:szCs w:val="28"/>
        </w:rPr>
        <w:t xml:space="preserve">soffermarmi </w:t>
      </w:r>
      <w:r w:rsidRPr="00C65BE8">
        <w:rPr>
          <w:rFonts w:ascii="Times New Roman" w:hAnsi="Times New Roman" w:cs="Times New Roman"/>
          <w:sz w:val="28"/>
          <w:szCs w:val="28"/>
        </w:rPr>
        <w:t xml:space="preserve">su alcuni </w:t>
      </w:r>
      <w:r w:rsidR="00801ED9" w:rsidRPr="00C65BE8">
        <w:rPr>
          <w:rFonts w:ascii="Times New Roman" w:hAnsi="Times New Roman" w:cs="Times New Roman"/>
          <w:sz w:val="28"/>
          <w:szCs w:val="28"/>
        </w:rPr>
        <w:t>aspetti</w:t>
      </w:r>
      <w:r w:rsidR="009419BB">
        <w:rPr>
          <w:rFonts w:ascii="Times New Roman" w:hAnsi="Times New Roman" w:cs="Times New Roman"/>
          <w:sz w:val="28"/>
          <w:szCs w:val="28"/>
        </w:rPr>
        <w:t xml:space="preserve"> dell’accordo</w:t>
      </w:r>
      <w:r w:rsidR="00801ED9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7923BB" w:rsidRPr="00C65BE8">
        <w:rPr>
          <w:rFonts w:ascii="Times New Roman" w:hAnsi="Times New Roman" w:cs="Times New Roman"/>
          <w:sz w:val="28"/>
          <w:szCs w:val="28"/>
        </w:rPr>
        <w:t xml:space="preserve">, più salienti, </w:t>
      </w:r>
      <w:r w:rsidRPr="00C65BE8">
        <w:rPr>
          <w:rFonts w:ascii="Times New Roman" w:hAnsi="Times New Roman" w:cs="Times New Roman"/>
          <w:sz w:val="28"/>
          <w:szCs w:val="28"/>
        </w:rPr>
        <w:t>che hanno l’obiettivo di definire e uniformare le procedure</w:t>
      </w:r>
      <w:r w:rsidR="00654210" w:rsidRPr="00C65BE8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in modo da consentire a tutti  i soggetti interessati di adempiere agli obblighi previsti dalla legge nella forma più </w:t>
      </w:r>
      <w:r w:rsidR="00654210" w:rsidRPr="00C65BE8">
        <w:rPr>
          <w:rFonts w:ascii="Times New Roman" w:hAnsi="Times New Roman" w:cs="Times New Roman"/>
          <w:sz w:val="28"/>
          <w:szCs w:val="28"/>
        </w:rPr>
        <w:t>semplificata</w:t>
      </w:r>
      <w:r w:rsidRPr="00C65BE8">
        <w:rPr>
          <w:rFonts w:ascii="Times New Roman" w:hAnsi="Times New Roman" w:cs="Times New Roman"/>
          <w:sz w:val="28"/>
          <w:szCs w:val="28"/>
        </w:rPr>
        <w:t xml:space="preserve"> possibile.</w:t>
      </w:r>
    </w:p>
    <w:p w:rsidR="00983BB2" w:rsidRPr="00C65BE8" w:rsidRDefault="001A45B9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b/>
          <w:sz w:val="28"/>
          <w:szCs w:val="28"/>
        </w:rPr>
        <w:t>Il modulo di iscrizione</w:t>
      </w:r>
      <w:r w:rsidRPr="00C65BE8">
        <w:rPr>
          <w:rFonts w:ascii="Times New Roman" w:hAnsi="Times New Roman" w:cs="Times New Roman"/>
          <w:sz w:val="28"/>
          <w:szCs w:val="28"/>
        </w:rPr>
        <w:t xml:space="preserve"> (Modello A) corredato dalla  autocertificazione (Modello B) e </w:t>
      </w:r>
      <w:r w:rsidR="00983BB2" w:rsidRPr="00C65BE8">
        <w:rPr>
          <w:rFonts w:ascii="Times New Roman" w:hAnsi="Times New Roman" w:cs="Times New Roman"/>
          <w:sz w:val="28"/>
          <w:szCs w:val="28"/>
        </w:rPr>
        <w:t>relativa scheda o perizia giurata.</w:t>
      </w:r>
    </w:p>
    <w:p w:rsidR="001A45B9" w:rsidRPr="00C65BE8" w:rsidRDefault="004118EF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E’ stato sicuramente la parte più impegnativa del lavoro soprattutto nella predisposizione del modello B di Autocertificazione , in quanto si è dovuto prevedere </w:t>
      </w:r>
      <w:r w:rsidR="007923BB" w:rsidRPr="00C65BE8">
        <w:rPr>
          <w:rFonts w:ascii="Times New Roman" w:hAnsi="Times New Roman" w:cs="Times New Roman"/>
          <w:sz w:val="28"/>
          <w:szCs w:val="28"/>
        </w:rPr>
        <w:t xml:space="preserve">e conciliare </w:t>
      </w:r>
      <w:r w:rsidRPr="00C65BE8">
        <w:rPr>
          <w:rFonts w:ascii="Times New Roman" w:hAnsi="Times New Roman" w:cs="Times New Roman"/>
          <w:sz w:val="28"/>
          <w:szCs w:val="28"/>
        </w:rPr>
        <w:t xml:space="preserve"> i casi previsti dalla legge  124</w:t>
      </w:r>
      <w:r w:rsidR="007923BB" w:rsidRPr="00C65BE8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596B28" w:rsidRPr="00C65BE8">
        <w:rPr>
          <w:rFonts w:ascii="Times New Roman" w:hAnsi="Times New Roman" w:cs="Times New Roman"/>
          <w:sz w:val="28"/>
          <w:szCs w:val="28"/>
        </w:rPr>
        <w:t xml:space="preserve">ai commi 112 e 113, </w:t>
      </w:r>
      <w:r w:rsidR="007923BB" w:rsidRPr="00C65BE8">
        <w:rPr>
          <w:rFonts w:ascii="Times New Roman" w:hAnsi="Times New Roman" w:cs="Times New Roman"/>
          <w:sz w:val="28"/>
          <w:szCs w:val="28"/>
        </w:rPr>
        <w:t xml:space="preserve">con </w:t>
      </w:r>
      <w:r w:rsidRPr="00C65BE8">
        <w:rPr>
          <w:rFonts w:ascii="Times New Roman" w:hAnsi="Times New Roman" w:cs="Times New Roman"/>
          <w:sz w:val="28"/>
          <w:szCs w:val="28"/>
        </w:rPr>
        <w:t xml:space="preserve">quelli </w:t>
      </w:r>
      <w:r w:rsidR="006F25E4" w:rsidRPr="00C65BE8">
        <w:rPr>
          <w:rFonts w:ascii="Times New Roman" w:hAnsi="Times New Roman" w:cs="Times New Roman"/>
          <w:sz w:val="28"/>
          <w:szCs w:val="28"/>
        </w:rPr>
        <w:t>presenti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6F25E4" w:rsidRPr="00C65BE8">
        <w:rPr>
          <w:rFonts w:ascii="Times New Roman" w:hAnsi="Times New Roman" w:cs="Times New Roman"/>
          <w:sz w:val="28"/>
          <w:szCs w:val="28"/>
        </w:rPr>
        <w:t>nelle</w:t>
      </w:r>
      <w:r w:rsidRPr="00C65BE8">
        <w:rPr>
          <w:rFonts w:ascii="Times New Roman" w:hAnsi="Times New Roman" w:cs="Times New Roman"/>
          <w:sz w:val="28"/>
          <w:szCs w:val="28"/>
        </w:rPr>
        <w:t xml:space="preserve"> specific</w:t>
      </w:r>
      <w:r w:rsidR="006F25E4" w:rsidRPr="00C65BE8">
        <w:rPr>
          <w:rFonts w:ascii="Times New Roman" w:hAnsi="Times New Roman" w:cs="Times New Roman"/>
          <w:sz w:val="28"/>
          <w:szCs w:val="28"/>
        </w:rPr>
        <w:t>he</w:t>
      </w:r>
      <w:r w:rsidRPr="00C65BE8">
        <w:rPr>
          <w:rFonts w:ascii="Times New Roman" w:hAnsi="Times New Roman" w:cs="Times New Roman"/>
          <w:sz w:val="28"/>
          <w:szCs w:val="28"/>
        </w:rPr>
        <w:t xml:space="preserve"> disciplin</w:t>
      </w:r>
      <w:r w:rsidR="006F25E4" w:rsidRPr="00C65BE8">
        <w:rPr>
          <w:rFonts w:ascii="Times New Roman" w:hAnsi="Times New Roman" w:cs="Times New Roman"/>
          <w:sz w:val="28"/>
          <w:szCs w:val="28"/>
        </w:rPr>
        <w:t>e</w:t>
      </w:r>
      <w:r w:rsidRPr="00C65BE8">
        <w:rPr>
          <w:rFonts w:ascii="Times New Roman" w:hAnsi="Times New Roman" w:cs="Times New Roman"/>
          <w:sz w:val="28"/>
          <w:szCs w:val="28"/>
        </w:rPr>
        <w:t xml:space="preserve"> regional</w:t>
      </w:r>
      <w:r w:rsidR="006F25E4" w:rsidRPr="00C65BE8">
        <w:rPr>
          <w:rFonts w:ascii="Times New Roman" w:hAnsi="Times New Roman" w:cs="Times New Roman"/>
          <w:sz w:val="28"/>
          <w:szCs w:val="28"/>
        </w:rPr>
        <w:t xml:space="preserve">i e in vigore fino al </w:t>
      </w:r>
      <w:r w:rsidRPr="00C65BE8">
        <w:rPr>
          <w:rFonts w:ascii="Times New Roman" w:hAnsi="Times New Roman" w:cs="Times New Roman"/>
          <w:sz w:val="28"/>
          <w:szCs w:val="28"/>
        </w:rPr>
        <w:t>29 agosto 2017.</w:t>
      </w:r>
    </w:p>
    <w:p w:rsidR="004118EF" w:rsidRPr="00C65BE8" w:rsidRDefault="004118EF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Come voi sapete</w:t>
      </w:r>
      <w:r w:rsidR="009628BF" w:rsidRPr="00C65BE8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il sistema del</w:t>
      </w:r>
      <w:r w:rsidR="009628BF" w:rsidRPr="00C65BE8">
        <w:rPr>
          <w:rFonts w:ascii="Times New Roman" w:hAnsi="Times New Roman" w:cs="Times New Roman"/>
          <w:sz w:val="28"/>
          <w:szCs w:val="28"/>
        </w:rPr>
        <w:t>le deroghe alle specifiche incompatibilità di cui ai commi 112 e 113, sono stati ricondotti a tre “situazioni”  in particolare :</w:t>
      </w:r>
    </w:p>
    <w:p w:rsidR="009628BF" w:rsidRPr="00C65BE8" w:rsidRDefault="009628BF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Dichiarazione di pubblica utilità;</w:t>
      </w:r>
    </w:p>
    <w:p w:rsidR="009628BF" w:rsidRPr="00C65BE8" w:rsidRDefault="009628BF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Impianto che ricade nelle fattispecie previste dalla normativa regionale efficace alla entrata in vigore della L. 124/2017 e cioè al 29 agosto 2017;</w:t>
      </w:r>
    </w:p>
    <w:p w:rsidR="009628BF" w:rsidRPr="00C65BE8" w:rsidRDefault="009628BF" w:rsidP="00C65BE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Deroga esplicitamente riportate nel titolo </w:t>
      </w:r>
      <w:proofErr w:type="spellStart"/>
      <w:r w:rsidRPr="00C65BE8">
        <w:rPr>
          <w:rFonts w:ascii="Times New Roman" w:hAnsi="Times New Roman" w:cs="Times New Roman"/>
          <w:sz w:val="28"/>
          <w:szCs w:val="28"/>
        </w:rPr>
        <w:t>concessorio</w:t>
      </w:r>
      <w:proofErr w:type="spellEnd"/>
      <w:r w:rsidRPr="00C65BE8">
        <w:rPr>
          <w:rFonts w:ascii="Times New Roman" w:hAnsi="Times New Roman" w:cs="Times New Roman"/>
          <w:sz w:val="28"/>
          <w:szCs w:val="28"/>
        </w:rPr>
        <w:t xml:space="preserve"> o autorizzativo.</w:t>
      </w:r>
    </w:p>
    <w:p w:rsidR="00CF059D" w:rsidRPr="00C65BE8" w:rsidRDefault="00CF059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Nei casi sopra descritti il titolare è tenuto </w:t>
      </w:r>
      <w:r w:rsidR="006F25E4" w:rsidRPr="00C65BE8">
        <w:rPr>
          <w:rFonts w:ascii="Times New Roman" w:hAnsi="Times New Roman" w:cs="Times New Roman"/>
          <w:sz w:val="28"/>
          <w:szCs w:val="28"/>
        </w:rPr>
        <w:t>, nella predisposizione dell’autocertificazione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6F25E4" w:rsidRPr="00C65BE8">
        <w:rPr>
          <w:rFonts w:ascii="Times New Roman" w:hAnsi="Times New Roman" w:cs="Times New Roman"/>
          <w:sz w:val="28"/>
          <w:szCs w:val="28"/>
        </w:rPr>
        <w:t xml:space="preserve">ad </w:t>
      </w:r>
      <w:r w:rsidRPr="00C65BE8">
        <w:rPr>
          <w:rFonts w:ascii="Times New Roman" w:hAnsi="Times New Roman" w:cs="Times New Roman"/>
          <w:sz w:val="28"/>
          <w:szCs w:val="28"/>
        </w:rPr>
        <w:t xml:space="preserve">indicare </w:t>
      </w:r>
      <w:r w:rsidR="00810E2E" w:rsidRPr="00C65BE8">
        <w:rPr>
          <w:rFonts w:ascii="Times New Roman" w:hAnsi="Times New Roman" w:cs="Times New Roman"/>
          <w:sz w:val="28"/>
          <w:szCs w:val="28"/>
        </w:rPr>
        <w:t>il tipo di deroga esistente ed</w:t>
      </w:r>
      <w:r w:rsidRPr="00C65BE8">
        <w:rPr>
          <w:rFonts w:ascii="Times New Roman" w:hAnsi="Times New Roman" w:cs="Times New Roman"/>
          <w:sz w:val="28"/>
          <w:szCs w:val="28"/>
        </w:rPr>
        <w:t xml:space="preserve"> allegare la pertinente documentazione ai fini dell’accertamento da parte delle autorità competenti.</w:t>
      </w:r>
    </w:p>
    <w:p w:rsidR="00503F32" w:rsidRPr="00C65BE8" w:rsidRDefault="00503F32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9D" w:rsidRPr="00C65BE8" w:rsidRDefault="00CF059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Qualora ricorrano una o più fattispecie sopra descritte la incompatibilità dell’impianto alle previsioni della legge n. 124/2017 è da ritenersi esclusa.</w:t>
      </w:r>
    </w:p>
    <w:p w:rsidR="00503F32" w:rsidRPr="00C65BE8" w:rsidRDefault="00503F32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B28" w:rsidRPr="00C65BE8" w:rsidRDefault="00596B28" w:rsidP="00C65B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E8">
        <w:rPr>
          <w:rFonts w:ascii="Times New Roman" w:hAnsi="Times New Roman" w:cs="Times New Roman"/>
          <w:b/>
          <w:sz w:val="28"/>
          <w:szCs w:val="28"/>
        </w:rPr>
        <w:t>Il portale</w:t>
      </w:r>
      <w:r w:rsidR="00166911" w:rsidRPr="00C65BE8">
        <w:rPr>
          <w:rFonts w:ascii="Times New Roman" w:hAnsi="Times New Roman" w:cs="Times New Roman"/>
          <w:b/>
          <w:sz w:val="28"/>
          <w:szCs w:val="28"/>
        </w:rPr>
        <w:t xml:space="preserve"> e il suo funzionamento</w:t>
      </w:r>
    </w:p>
    <w:p w:rsidR="00880C99" w:rsidRPr="00C65BE8" w:rsidRDefault="00CF059D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La </w:t>
      </w:r>
      <w:r w:rsidR="00166911" w:rsidRPr="00C65BE8">
        <w:rPr>
          <w:rFonts w:ascii="Times New Roman" w:hAnsi="Times New Roman" w:cs="Times New Roman"/>
          <w:sz w:val="28"/>
          <w:szCs w:val="28"/>
        </w:rPr>
        <w:t>sottoscrizione dell’</w:t>
      </w:r>
      <w:r w:rsidRPr="00C65BE8">
        <w:rPr>
          <w:rFonts w:ascii="Times New Roman" w:hAnsi="Times New Roman" w:cs="Times New Roman"/>
          <w:sz w:val="28"/>
          <w:szCs w:val="28"/>
        </w:rPr>
        <w:t>accordo</w:t>
      </w:r>
      <w:r w:rsidR="00166911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e l’approvazione della scheda di iscrizione all’anagrafe </w:t>
      </w:r>
      <w:r w:rsidRPr="00C65BE8">
        <w:rPr>
          <w:rFonts w:ascii="Times New Roman" w:hAnsi="Times New Roman" w:cs="Times New Roman"/>
          <w:sz w:val="28"/>
          <w:szCs w:val="28"/>
        </w:rPr>
        <w:t xml:space="preserve">ha consentito al Mise di predisporre il portale che vi verrà 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dettagliatamente </w:t>
      </w:r>
      <w:r w:rsidR="00503F32" w:rsidRPr="00C65BE8">
        <w:rPr>
          <w:rFonts w:ascii="Times New Roman" w:hAnsi="Times New Roman" w:cs="Times New Roman"/>
          <w:sz w:val="28"/>
          <w:szCs w:val="28"/>
        </w:rPr>
        <w:t xml:space="preserve">illustrato  nell’apposito intervento previsto in questa sede. </w:t>
      </w:r>
    </w:p>
    <w:p w:rsidR="00166911" w:rsidRPr="00C65BE8" w:rsidRDefault="00166911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Il Mise ha valutato di realizzare l’anagrafica all’interno del portale</w:t>
      </w:r>
      <w:r w:rsidR="00733E2C" w:rsidRPr="00C65BE8">
        <w:rPr>
          <w:rFonts w:ascii="Times New Roman" w:hAnsi="Times New Roman" w:cs="Times New Roman"/>
          <w:sz w:val="28"/>
          <w:szCs w:val="28"/>
        </w:rPr>
        <w:t>:</w:t>
      </w:r>
      <w:r w:rsidRPr="00C65BE8">
        <w:rPr>
          <w:rFonts w:ascii="Times New Roman" w:hAnsi="Times New Roman" w:cs="Times New Roman"/>
          <w:sz w:val="28"/>
          <w:szCs w:val="28"/>
        </w:rPr>
        <w:t xml:space="preserve"> impresa in un giorno</w:t>
      </w:r>
      <w:r w:rsidR="00195CC8" w:rsidRPr="00C65BE8">
        <w:rPr>
          <w:rFonts w:ascii="Times New Roman" w:hAnsi="Times New Roman" w:cs="Times New Roman"/>
          <w:sz w:val="28"/>
          <w:szCs w:val="28"/>
        </w:rPr>
        <w:t xml:space="preserve">.gov.it </w:t>
      </w:r>
      <w:r w:rsidR="00733E2C" w:rsidRPr="00C65BE8">
        <w:rPr>
          <w:rFonts w:ascii="Times New Roman" w:hAnsi="Times New Roman" w:cs="Times New Roman"/>
          <w:sz w:val="28"/>
          <w:szCs w:val="28"/>
        </w:rPr>
        <w:t xml:space="preserve">gestito dal sistema </w:t>
      </w:r>
      <w:proofErr w:type="spellStart"/>
      <w:r w:rsidR="00733E2C" w:rsidRPr="00C65BE8">
        <w:rPr>
          <w:rFonts w:ascii="Times New Roman" w:hAnsi="Times New Roman" w:cs="Times New Roman"/>
          <w:sz w:val="28"/>
          <w:szCs w:val="28"/>
        </w:rPr>
        <w:t>Unioncamere</w:t>
      </w:r>
      <w:proofErr w:type="spellEnd"/>
      <w:r w:rsidR="00810E2E" w:rsidRPr="00C65BE8">
        <w:rPr>
          <w:rFonts w:ascii="Times New Roman" w:hAnsi="Times New Roman" w:cs="Times New Roman"/>
          <w:sz w:val="28"/>
          <w:szCs w:val="28"/>
        </w:rPr>
        <w:t xml:space="preserve"> e in collaborazione con </w:t>
      </w:r>
      <w:proofErr w:type="spellStart"/>
      <w:r w:rsidR="00810E2E" w:rsidRPr="00C65BE8">
        <w:rPr>
          <w:rFonts w:ascii="Times New Roman" w:hAnsi="Times New Roman" w:cs="Times New Roman"/>
          <w:sz w:val="28"/>
          <w:szCs w:val="28"/>
        </w:rPr>
        <w:t>infocamere</w:t>
      </w:r>
      <w:proofErr w:type="spellEnd"/>
      <w:r w:rsidR="00810E2E" w:rsidRPr="00C65BE8">
        <w:rPr>
          <w:rFonts w:ascii="Times New Roman" w:hAnsi="Times New Roman" w:cs="Times New Roman"/>
          <w:sz w:val="28"/>
          <w:szCs w:val="28"/>
        </w:rPr>
        <w:t xml:space="preserve"> ha elaborato la piattaforma informatica su cui effettuare l’iscrizione all’anagrafe. </w:t>
      </w:r>
    </w:p>
    <w:p w:rsidR="003B2632" w:rsidRPr="00C65BE8" w:rsidRDefault="00733E2C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lastRenderedPageBreak/>
        <w:t xml:space="preserve">La scelta tecnica è valida e </w:t>
      </w:r>
      <w:r w:rsidR="003B2632" w:rsidRPr="00C65BE8">
        <w:rPr>
          <w:rFonts w:ascii="Times New Roman" w:hAnsi="Times New Roman" w:cs="Times New Roman"/>
          <w:sz w:val="28"/>
          <w:szCs w:val="28"/>
        </w:rPr>
        <w:t>utilizza un ambiente informatico “collaudato” e conosciuto sia dagli</w:t>
      </w:r>
      <w:r w:rsidR="00D4165B" w:rsidRPr="00C65BE8">
        <w:rPr>
          <w:rFonts w:ascii="Times New Roman" w:hAnsi="Times New Roman" w:cs="Times New Roman"/>
          <w:sz w:val="28"/>
          <w:szCs w:val="28"/>
        </w:rPr>
        <w:t xml:space="preserve"> operatori privati che pubblici.</w:t>
      </w:r>
    </w:p>
    <w:p w:rsidR="00733E2C" w:rsidRPr="00C65BE8" w:rsidRDefault="003B2632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</w:t>
      </w:r>
      <w:r w:rsidR="00733E2C" w:rsidRPr="00C65BE8">
        <w:rPr>
          <w:rFonts w:ascii="Times New Roman" w:hAnsi="Times New Roman" w:cs="Times New Roman"/>
          <w:sz w:val="28"/>
          <w:szCs w:val="28"/>
        </w:rPr>
        <w:t xml:space="preserve">e prime simulazioni effettuate sembrano presentare uno schema di caricamento </w:t>
      </w:r>
      <w:r w:rsidR="00C44355" w:rsidRPr="00C65BE8">
        <w:rPr>
          <w:rFonts w:ascii="Times New Roman" w:hAnsi="Times New Roman" w:cs="Times New Roman"/>
          <w:sz w:val="28"/>
          <w:szCs w:val="28"/>
        </w:rPr>
        <w:t xml:space="preserve">dell’anagrafica e dei relativi allegati </w:t>
      </w:r>
      <w:r w:rsidR="00733E2C" w:rsidRPr="00C65BE8">
        <w:rPr>
          <w:rFonts w:ascii="Times New Roman" w:hAnsi="Times New Roman" w:cs="Times New Roman"/>
          <w:sz w:val="28"/>
          <w:szCs w:val="28"/>
        </w:rPr>
        <w:t>semplificat</w:t>
      </w:r>
      <w:r w:rsidR="00C44355" w:rsidRPr="00C65BE8">
        <w:rPr>
          <w:rFonts w:ascii="Times New Roman" w:hAnsi="Times New Roman" w:cs="Times New Roman"/>
          <w:sz w:val="28"/>
          <w:szCs w:val="28"/>
        </w:rPr>
        <w:t>a</w:t>
      </w:r>
      <w:r w:rsidR="00733E2C" w:rsidRPr="00C65BE8">
        <w:rPr>
          <w:rFonts w:ascii="Times New Roman" w:hAnsi="Times New Roman" w:cs="Times New Roman"/>
          <w:sz w:val="28"/>
          <w:szCs w:val="28"/>
        </w:rPr>
        <w:t xml:space="preserve"> e in linea con il modello approvato nell’accordo dell’8 marzo 2018.</w:t>
      </w:r>
    </w:p>
    <w:p w:rsidR="003B2632" w:rsidRPr="00C65BE8" w:rsidRDefault="00C44355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Una semplificazione aggiuntiva nell’invio dell’anagrafica è prevista per il titolare che abbia un numero di impianti superiore alle 100 unità . (invio massivo web service)</w:t>
      </w:r>
    </w:p>
    <w:p w:rsidR="00EE2D86" w:rsidRDefault="00EE2D86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La vera operatività verrà valutata nelle prossime settimane , nel momento in cui il sistema </w:t>
      </w:r>
      <w:r w:rsidR="00D4165B" w:rsidRPr="00C65BE8">
        <w:rPr>
          <w:rFonts w:ascii="Times New Roman" w:hAnsi="Times New Roman" w:cs="Times New Roman"/>
          <w:sz w:val="28"/>
          <w:szCs w:val="28"/>
        </w:rPr>
        <w:t xml:space="preserve">predisposto </w:t>
      </w:r>
      <w:r w:rsidRPr="00C65BE8">
        <w:rPr>
          <w:rFonts w:ascii="Times New Roman" w:hAnsi="Times New Roman" w:cs="Times New Roman"/>
          <w:sz w:val="28"/>
          <w:szCs w:val="28"/>
        </w:rPr>
        <w:t>dovrà assorbire l’iscrizione all’anagrafica di più di 20.000 impianti interessati.</w:t>
      </w:r>
    </w:p>
    <w:p w:rsidR="00B52897" w:rsidRPr="00C65BE8" w:rsidRDefault="00B52897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tempi a disposizione per gli operatori interessati, tenendo conto </w:t>
      </w:r>
      <w:r w:rsidR="00202462">
        <w:rPr>
          <w:rFonts w:ascii="Times New Roman" w:hAnsi="Times New Roman" w:cs="Times New Roman"/>
          <w:sz w:val="28"/>
          <w:szCs w:val="28"/>
        </w:rPr>
        <w:t xml:space="preserve">anche </w:t>
      </w:r>
      <w:r>
        <w:rPr>
          <w:rFonts w:ascii="Times New Roman" w:hAnsi="Times New Roman" w:cs="Times New Roman"/>
          <w:sz w:val="28"/>
          <w:szCs w:val="28"/>
        </w:rPr>
        <w:t>del periodo di chiusura estiva</w:t>
      </w:r>
      <w:r w:rsidR="00202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per effettuare gli adempimenti previsti dalla L.124 non sono </w:t>
      </w:r>
      <w:r w:rsidR="00202462">
        <w:rPr>
          <w:rFonts w:ascii="Times New Roman" w:hAnsi="Times New Roman" w:cs="Times New Roman"/>
          <w:sz w:val="28"/>
          <w:szCs w:val="28"/>
        </w:rPr>
        <w:t xml:space="preserve">ampi e quindi è necessario che il portale sia reso operativo e fruibile nel più breve tempo possibile da  parte del Mise e di </w:t>
      </w:r>
      <w:proofErr w:type="spellStart"/>
      <w:r w:rsidR="00202462">
        <w:rPr>
          <w:rFonts w:ascii="Times New Roman" w:hAnsi="Times New Roman" w:cs="Times New Roman"/>
          <w:sz w:val="28"/>
          <w:szCs w:val="28"/>
        </w:rPr>
        <w:t>Infocamere</w:t>
      </w:r>
      <w:proofErr w:type="spellEnd"/>
      <w:r w:rsidR="0020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D86" w:rsidRPr="00C65BE8" w:rsidRDefault="00EE2D86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Dalle prime verifiche effettuate</w:t>
      </w:r>
      <w:r w:rsidR="00140EAD" w:rsidRPr="00C65BE8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le problematiche sollevate </w:t>
      </w:r>
      <w:r w:rsidR="00140EAD" w:rsidRPr="00C65BE8">
        <w:rPr>
          <w:rFonts w:ascii="Times New Roman" w:hAnsi="Times New Roman" w:cs="Times New Roman"/>
          <w:sz w:val="28"/>
          <w:szCs w:val="28"/>
        </w:rPr>
        <w:t xml:space="preserve">dai titolari degli impianti </w:t>
      </w:r>
      <w:r w:rsidRPr="00C65BE8">
        <w:rPr>
          <w:rFonts w:ascii="Times New Roman" w:hAnsi="Times New Roman" w:cs="Times New Roman"/>
          <w:sz w:val="28"/>
          <w:szCs w:val="28"/>
        </w:rPr>
        <w:t>evidenziano più criticità sui aspetti interpretativi della norma che aspetti tecnici legati al caricamento e validazione dei dati.</w:t>
      </w:r>
      <w:r w:rsidR="00140EAD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Pr="00C65BE8">
        <w:rPr>
          <w:rFonts w:ascii="Times New Roman" w:hAnsi="Times New Roman" w:cs="Times New Roman"/>
          <w:sz w:val="28"/>
          <w:szCs w:val="28"/>
        </w:rPr>
        <w:t xml:space="preserve">Un esempio per tutti 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l’individuazione della </w:t>
      </w:r>
      <w:r w:rsidR="00140EAD" w:rsidRPr="00C65BE8">
        <w:rPr>
          <w:rFonts w:ascii="Times New Roman" w:hAnsi="Times New Roman" w:cs="Times New Roman"/>
          <w:sz w:val="28"/>
          <w:szCs w:val="28"/>
        </w:rPr>
        <w:t xml:space="preserve"> figura del titolare </w:t>
      </w:r>
      <w:r w:rsidR="00F459E1" w:rsidRPr="00C65BE8">
        <w:rPr>
          <w:rFonts w:ascii="Times New Roman" w:hAnsi="Times New Roman" w:cs="Times New Roman"/>
          <w:sz w:val="28"/>
          <w:szCs w:val="28"/>
        </w:rPr>
        <w:t xml:space="preserve">a cui è affidato il compito di 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compilare e sottoscrivere </w:t>
      </w:r>
      <w:r w:rsidR="00F459E1" w:rsidRPr="00C65BE8">
        <w:rPr>
          <w:rFonts w:ascii="Times New Roman" w:hAnsi="Times New Roman" w:cs="Times New Roman"/>
          <w:sz w:val="28"/>
          <w:szCs w:val="28"/>
        </w:rPr>
        <w:t xml:space="preserve"> l’autocertificazione del Modello B.</w:t>
      </w:r>
    </w:p>
    <w:p w:rsidR="0033003E" w:rsidRPr="00C65BE8" w:rsidRDefault="00C44355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Sembra opportuno concordare con il Mise e con l’Anci l’</w:t>
      </w:r>
      <w:r w:rsidR="009C563A" w:rsidRPr="00C65BE8">
        <w:rPr>
          <w:rFonts w:ascii="Times New Roman" w:hAnsi="Times New Roman" w:cs="Times New Roman"/>
          <w:sz w:val="28"/>
          <w:szCs w:val="28"/>
        </w:rPr>
        <w:t>attivazione di un servizio di assistenza tecnica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9419BB">
        <w:rPr>
          <w:rFonts w:ascii="Times New Roman" w:hAnsi="Times New Roman" w:cs="Times New Roman"/>
          <w:sz w:val="28"/>
          <w:szCs w:val="28"/>
        </w:rPr>
        <w:t xml:space="preserve"> (anche attraverso un help-desk) </w:t>
      </w:r>
      <w:r w:rsidR="00810E2E" w:rsidRPr="00C65BE8">
        <w:rPr>
          <w:rFonts w:ascii="Times New Roman" w:hAnsi="Times New Roman" w:cs="Times New Roman"/>
          <w:sz w:val="28"/>
          <w:szCs w:val="28"/>
        </w:rPr>
        <w:t>,</w:t>
      </w:r>
      <w:r w:rsidR="009C563A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810E2E" w:rsidRPr="00C65BE8">
        <w:rPr>
          <w:rFonts w:ascii="Times New Roman" w:hAnsi="Times New Roman" w:cs="Times New Roman"/>
          <w:sz w:val="28"/>
          <w:szCs w:val="28"/>
        </w:rPr>
        <w:t xml:space="preserve">vista la vastità di rapporti contrattuali in essere nel settore, </w:t>
      </w:r>
      <w:r w:rsidR="009C563A" w:rsidRPr="00C65BE8">
        <w:rPr>
          <w:rFonts w:ascii="Times New Roman" w:hAnsi="Times New Roman" w:cs="Times New Roman"/>
          <w:sz w:val="28"/>
          <w:szCs w:val="28"/>
        </w:rPr>
        <w:t>che consenta di valutare e risolvere i casi “particolari” che sicuramente</w:t>
      </w:r>
      <w:r w:rsidR="0033003E" w:rsidRPr="00C65BE8">
        <w:rPr>
          <w:rFonts w:ascii="Times New Roman" w:hAnsi="Times New Roman" w:cs="Times New Roman"/>
          <w:sz w:val="28"/>
          <w:szCs w:val="28"/>
        </w:rPr>
        <w:t xml:space="preserve"> verranno riscontrati in fase di predisposizione delle scheda.</w:t>
      </w:r>
    </w:p>
    <w:p w:rsidR="00F71288" w:rsidRPr="00C65BE8" w:rsidRDefault="00F71288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L’accordo prevedeva che l’inoltro al sistema informatico del Mise rappresenta a tutti gli effetti l’unica modalità di notifica alle Regioni e Province Autonome, alle Amministrazioni competenti al rilascio del titolo autorizzativo o concessionario e all’Agenzia delle dogane e dei monopoli.</w:t>
      </w:r>
    </w:p>
    <w:p w:rsidR="00F71288" w:rsidRPr="00C65BE8" w:rsidRDefault="00F71288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E’ una soluzione che abbiamo condiviso, semplifica l’inoltro da parte dei soggetti interessati della domanda di iscrizione all’anagrafe e a regime consentirà a tutte le Amministrazioni interessate di acquisire i dati di propria competenza.</w:t>
      </w:r>
    </w:p>
    <w:p w:rsidR="0047341A" w:rsidRPr="00C65BE8" w:rsidRDefault="0047341A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Compito delle Regioni e delle Province Autonome  e dell’Anci sarà quello di fornire le opportune indicazioni a tutti gli Enti Locali interessati in modo da consentire l’accesso al portale </w:t>
      </w:r>
    </w:p>
    <w:p w:rsidR="0047341A" w:rsidRPr="00C65BE8" w:rsidRDefault="00F71288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Voglio infine sottolineare come </w:t>
      </w:r>
      <w:r w:rsidR="0047341A" w:rsidRPr="00C65BE8">
        <w:rPr>
          <w:rFonts w:ascii="Times New Roman" w:hAnsi="Times New Roman" w:cs="Times New Roman"/>
          <w:sz w:val="28"/>
          <w:szCs w:val="28"/>
        </w:rPr>
        <w:t xml:space="preserve">dopo il 24 agosto l’iscrizione all’anagrafe continuerà a coinvolgere il sistema degli impianti di distribuzione in quanto i nuovi impianti , </w:t>
      </w:r>
      <w:r w:rsidR="0047341A" w:rsidRPr="00C65BE8">
        <w:rPr>
          <w:rFonts w:ascii="Times New Roman" w:hAnsi="Times New Roman" w:cs="Times New Roman"/>
          <w:sz w:val="28"/>
          <w:szCs w:val="28"/>
        </w:rPr>
        <w:lastRenderedPageBreak/>
        <w:t>per poter ottenere l’autorizzazione dall’Ente competente, dovranno dimostrare l’iscrizione all’anagrafe.</w:t>
      </w:r>
    </w:p>
    <w:p w:rsidR="00F71288" w:rsidRPr="00C65BE8" w:rsidRDefault="0047341A" w:rsidP="00C65BE8">
      <w:pPr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Il principio di aggiornamento </w:t>
      </w:r>
      <w:r w:rsidR="00C134C1" w:rsidRPr="00C65BE8">
        <w:rPr>
          <w:rFonts w:ascii="Times New Roman" w:hAnsi="Times New Roman" w:cs="Times New Roman"/>
          <w:sz w:val="28"/>
          <w:szCs w:val="28"/>
        </w:rPr>
        <w:t>continuo</w:t>
      </w:r>
      <w:r w:rsidRPr="00C65BE8">
        <w:rPr>
          <w:rFonts w:ascii="Times New Roman" w:hAnsi="Times New Roman" w:cs="Times New Roman"/>
          <w:sz w:val="28"/>
          <w:szCs w:val="28"/>
        </w:rPr>
        <w:t xml:space="preserve"> dell’anagrafica va valutata anche in caso di voltura, chiusura o sospensione dell’impianto interessato.  </w:t>
      </w:r>
      <w:r w:rsidR="00F71288" w:rsidRPr="00C65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7D" w:rsidRPr="00C65BE8" w:rsidRDefault="002B2E7D" w:rsidP="00C6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E7D" w:rsidRPr="00C65BE8" w:rsidRDefault="002B2E7D" w:rsidP="00C6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B7E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E8">
        <w:rPr>
          <w:rFonts w:ascii="Times New Roman" w:hAnsi="Times New Roman" w:cs="Times New Roman"/>
          <w:b/>
          <w:sz w:val="28"/>
          <w:szCs w:val="28"/>
        </w:rPr>
        <w:t>Conclusione</w:t>
      </w:r>
    </w:p>
    <w:p w:rsidR="00673B7E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B7E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Il mio contributo </w:t>
      </w:r>
      <w:r w:rsidR="00C134C1" w:rsidRPr="00C65BE8">
        <w:rPr>
          <w:rFonts w:ascii="Times New Roman" w:hAnsi="Times New Roman" w:cs="Times New Roman"/>
          <w:sz w:val="28"/>
          <w:szCs w:val="28"/>
        </w:rPr>
        <w:t>non ha considerato</w:t>
      </w:r>
      <w:r w:rsidRPr="00C65BE8">
        <w:rPr>
          <w:rFonts w:ascii="Times New Roman" w:hAnsi="Times New Roman" w:cs="Times New Roman"/>
          <w:sz w:val="28"/>
          <w:szCs w:val="28"/>
        </w:rPr>
        <w:t xml:space="preserve"> una serie di aspetti </w:t>
      </w:r>
      <w:r w:rsidR="00C134C1" w:rsidRPr="00C65BE8">
        <w:rPr>
          <w:rFonts w:ascii="Times New Roman" w:hAnsi="Times New Roman" w:cs="Times New Roman"/>
          <w:sz w:val="28"/>
          <w:szCs w:val="28"/>
        </w:rPr>
        <w:t>“</w:t>
      </w:r>
      <w:r w:rsidRPr="00C65BE8">
        <w:rPr>
          <w:rFonts w:ascii="Times New Roman" w:hAnsi="Times New Roman" w:cs="Times New Roman"/>
          <w:sz w:val="28"/>
          <w:szCs w:val="28"/>
        </w:rPr>
        <w:t>più tecnici</w:t>
      </w:r>
      <w:r w:rsidR="00C134C1" w:rsidRPr="00C65BE8">
        <w:rPr>
          <w:rFonts w:ascii="Times New Roman" w:hAnsi="Times New Roman" w:cs="Times New Roman"/>
          <w:sz w:val="28"/>
          <w:szCs w:val="28"/>
        </w:rPr>
        <w:t>”</w:t>
      </w:r>
      <w:r w:rsidRPr="00C65BE8">
        <w:rPr>
          <w:rFonts w:ascii="Times New Roman" w:hAnsi="Times New Roman" w:cs="Times New Roman"/>
          <w:sz w:val="28"/>
          <w:szCs w:val="28"/>
        </w:rPr>
        <w:t xml:space="preserve"> inseriti nell’accordo quali ad esempio : la definizione dei centri abitati o l’elenco degli impianti interessati e ha cercato di descrivere le motivazioni di indirizzo dell’accordo.</w:t>
      </w:r>
    </w:p>
    <w:p w:rsidR="00673B7E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F32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L’accordo è stato sicuramente un momento importante  che  consentirà , entro il 24 agosto 2018, di realizzare il primo </w:t>
      </w:r>
      <w:proofErr w:type="spellStart"/>
      <w:r w:rsidRPr="00C65BE8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65BE8">
        <w:rPr>
          <w:rFonts w:ascii="Times New Roman" w:hAnsi="Times New Roman" w:cs="Times New Roman"/>
          <w:sz w:val="28"/>
          <w:szCs w:val="28"/>
        </w:rPr>
        <w:t xml:space="preserve"> previsto dalla norma : l’iscrizione all’anagrafica di tutti gli impia</w:t>
      </w:r>
      <w:r w:rsidR="000C4781" w:rsidRPr="00C65BE8">
        <w:rPr>
          <w:rFonts w:ascii="Times New Roman" w:hAnsi="Times New Roman" w:cs="Times New Roman"/>
          <w:sz w:val="28"/>
          <w:szCs w:val="28"/>
        </w:rPr>
        <w:t>nti di distribuzione carburanti situati sia sulla rete ordinaria che quella autostradale.</w:t>
      </w:r>
    </w:p>
    <w:p w:rsidR="007F7E4A" w:rsidRPr="00C65BE8" w:rsidRDefault="007F7E4A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4A" w:rsidRPr="00C65BE8" w:rsidRDefault="007F7E4A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 xml:space="preserve">Come già evidenziato </w:t>
      </w:r>
      <w:r w:rsidR="00811DF7" w:rsidRPr="00C65BE8">
        <w:rPr>
          <w:rFonts w:ascii="Times New Roman" w:hAnsi="Times New Roman" w:cs="Times New Roman"/>
          <w:sz w:val="28"/>
          <w:szCs w:val="28"/>
        </w:rPr>
        <w:t>l’u</w:t>
      </w:r>
      <w:r w:rsidR="009419BB">
        <w:rPr>
          <w:rFonts w:ascii="Times New Roman" w:hAnsi="Times New Roman" w:cs="Times New Roman"/>
          <w:sz w:val="28"/>
          <w:szCs w:val="28"/>
        </w:rPr>
        <w:t xml:space="preserve">tilizzo del sistema </w:t>
      </w:r>
      <w:proofErr w:type="spellStart"/>
      <w:r w:rsidR="009419BB">
        <w:rPr>
          <w:rFonts w:ascii="Times New Roman" w:hAnsi="Times New Roman" w:cs="Times New Roman"/>
          <w:sz w:val="28"/>
          <w:szCs w:val="28"/>
        </w:rPr>
        <w:t>infocamere</w:t>
      </w:r>
      <w:proofErr w:type="spellEnd"/>
      <w:r w:rsidR="009419BB">
        <w:rPr>
          <w:rFonts w:ascii="Times New Roman" w:hAnsi="Times New Roman" w:cs="Times New Roman"/>
          <w:sz w:val="28"/>
          <w:szCs w:val="28"/>
        </w:rPr>
        <w:t xml:space="preserve"> si ritiene </w:t>
      </w:r>
      <w:r w:rsidR="00811DF7" w:rsidRPr="00C65BE8">
        <w:rPr>
          <w:rFonts w:ascii="Times New Roman" w:hAnsi="Times New Roman" w:cs="Times New Roman"/>
          <w:sz w:val="28"/>
          <w:szCs w:val="28"/>
        </w:rPr>
        <w:t>valido in quanto è un “circuito” operativo  che da anni viene utilizzano sia dalle aziende che dagli enti locali.</w:t>
      </w:r>
    </w:p>
    <w:p w:rsidR="009817E3" w:rsidRPr="00C65BE8" w:rsidRDefault="009817E3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2D" w:rsidRPr="00C65BE8" w:rsidRDefault="00530F5E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La creazione dell’anagrafica unica è</w:t>
      </w:r>
      <w:r w:rsidR="000C4781" w:rsidRPr="00C65BE8">
        <w:rPr>
          <w:rFonts w:ascii="Times New Roman" w:hAnsi="Times New Roman" w:cs="Times New Roman"/>
          <w:sz w:val="28"/>
          <w:szCs w:val="28"/>
        </w:rPr>
        <w:t xml:space="preserve"> un buon risultato, che consentirà di uniformare </w:t>
      </w:r>
      <w:r w:rsidR="00EC4ECB" w:rsidRPr="00C65BE8">
        <w:rPr>
          <w:rFonts w:ascii="Times New Roman" w:hAnsi="Times New Roman" w:cs="Times New Roman"/>
          <w:sz w:val="28"/>
          <w:szCs w:val="28"/>
        </w:rPr>
        <w:t xml:space="preserve">i dati </w:t>
      </w:r>
      <w:r w:rsidR="000C4781" w:rsidRPr="00C65BE8">
        <w:rPr>
          <w:rFonts w:ascii="Times New Roman" w:hAnsi="Times New Roman" w:cs="Times New Roman"/>
          <w:sz w:val="28"/>
          <w:szCs w:val="28"/>
        </w:rPr>
        <w:t xml:space="preserve"> attualmente definit</w:t>
      </w:r>
      <w:r w:rsidR="00EC4ECB" w:rsidRPr="00C65BE8">
        <w:rPr>
          <w:rFonts w:ascii="Times New Roman" w:hAnsi="Times New Roman" w:cs="Times New Roman"/>
          <w:sz w:val="28"/>
          <w:szCs w:val="28"/>
        </w:rPr>
        <w:t>i</w:t>
      </w:r>
      <w:r w:rsidR="000C4781" w:rsidRPr="00C65BE8">
        <w:rPr>
          <w:rFonts w:ascii="Times New Roman" w:hAnsi="Times New Roman" w:cs="Times New Roman"/>
          <w:sz w:val="28"/>
          <w:szCs w:val="28"/>
        </w:rPr>
        <w:t xml:space="preserve"> su basi regionali e consentirà una </w:t>
      </w:r>
      <w:r w:rsidR="00811DF7" w:rsidRPr="00C65BE8">
        <w:rPr>
          <w:rFonts w:ascii="Times New Roman" w:hAnsi="Times New Roman" w:cs="Times New Roman"/>
          <w:sz w:val="28"/>
          <w:szCs w:val="28"/>
        </w:rPr>
        <w:t xml:space="preserve">migliore </w:t>
      </w:r>
      <w:r w:rsidR="000C4781" w:rsidRPr="00C65BE8">
        <w:rPr>
          <w:rFonts w:ascii="Times New Roman" w:hAnsi="Times New Roman" w:cs="Times New Roman"/>
          <w:sz w:val="28"/>
          <w:szCs w:val="28"/>
        </w:rPr>
        <w:t xml:space="preserve">consultazione </w:t>
      </w:r>
      <w:r w:rsidR="00EC4ECB" w:rsidRPr="00C65BE8">
        <w:rPr>
          <w:rFonts w:ascii="Times New Roman" w:hAnsi="Times New Roman" w:cs="Times New Roman"/>
          <w:sz w:val="28"/>
          <w:szCs w:val="28"/>
        </w:rPr>
        <w:t>degli stessi</w:t>
      </w:r>
      <w:r w:rsidR="000C4781" w:rsidRPr="00C65BE8">
        <w:rPr>
          <w:rFonts w:ascii="Times New Roman" w:hAnsi="Times New Roman" w:cs="Times New Roman"/>
          <w:sz w:val="28"/>
          <w:szCs w:val="28"/>
        </w:rPr>
        <w:t xml:space="preserve"> a tutti i soggetti interessati.</w:t>
      </w:r>
    </w:p>
    <w:p w:rsidR="000C4781" w:rsidRPr="00C65BE8" w:rsidRDefault="000C4781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8D" w:rsidRPr="00C65BE8" w:rsidRDefault="00460F8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A</w:t>
      </w:r>
      <w:r w:rsidR="000C4781" w:rsidRPr="00C65BE8">
        <w:rPr>
          <w:rFonts w:ascii="Times New Roman" w:hAnsi="Times New Roman" w:cs="Times New Roman"/>
          <w:sz w:val="28"/>
          <w:szCs w:val="28"/>
        </w:rPr>
        <w:t>l modello dovrà essere “concesso” una fase di sperimentazione e soprattutto s</w:t>
      </w:r>
      <w:r w:rsidR="00673B7E" w:rsidRPr="00C65BE8">
        <w:rPr>
          <w:rFonts w:ascii="Times New Roman" w:hAnsi="Times New Roman" w:cs="Times New Roman"/>
          <w:sz w:val="28"/>
          <w:szCs w:val="28"/>
        </w:rPr>
        <w:t>arà necessario poi garantire un accurato monitoraggio</w:t>
      </w:r>
      <w:r w:rsidR="00A5363D" w:rsidRPr="00C65BE8">
        <w:rPr>
          <w:rFonts w:ascii="Times New Roman" w:hAnsi="Times New Roman" w:cs="Times New Roman"/>
          <w:sz w:val="28"/>
          <w:szCs w:val="28"/>
        </w:rPr>
        <w:t xml:space="preserve"> delle diverse situazioni che verranno acquisite</w:t>
      </w:r>
      <w:r w:rsidR="00EC4ECB" w:rsidRPr="00C65BE8">
        <w:rPr>
          <w:rFonts w:ascii="Times New Roman" w:hAnsi="Times New Roman" w:cs="Times New Roman"/>
          <w:sz w:val="28"/>
          <w:szCs w:val="28"/>
        </w:rPr>
        <w:t>,</w:t>
      </w:r>
      <w:r w:rsidR="00673B7E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A5363D" w:rsidRPr="00C65BE8">
        <w:rPr>
          <w:rFonts w:ascii="Times New Roman" w:hAnsi="Times New Roman" w:cs="Times New Roman"/>
          <w:sz w:val="28"/>
          <w:szCs w:val="28"/>
        </w:rPr>
        <w:t>una appropriata gestione del dat</w:t>
      </w:r>
      <w:r w:rsidR="00EC4ECB" w:rsidRPr="00C65BE8">
        <w:rPr>
          <w:rFonts w:ascii="Times New Roman" w:hAnsi="Times New Roman" w:cs="Times New Roman"/>
          <w:sz w:val="28"/>
          <w:szCs w:val="28"/>
        </w:rPr>
        <w:t xml:space="preserve">i e una piena valutazione delle conseguenti decisioni operative </w:t>
      </w:r>
      <w:r w:rsidR="00C134C1" w:rsidRPr="00C65BE8">
        <w:rPr>
          <w:rFonts w:ascii="Times New Roman" w:hAnsi="Times New Roman" w:cs="Times New Roman"/>
          <w:sz w:val="28"/>
          <w:szCs w:val="28"/>
        </w:rPr>
        <w:t>soprattutto se si è in presenza di possibili revoche d</w:t>
      </w:r>
      <w:r w:rsidR="00EC4ECB" w:rsidRPr="00C65BE8">
        <w:rPr>
          <w:rFonts w:ascii="Times New Roman" w:hAnsi="Times New Roman" w:cs="Times New Roman"/>
          <w:sz w:val="28"/>
          <w:szCs w:val="28"/>
        </w:rPr>
        <w:t>i atti autorizzativi</w:t>
      </w:r>
      <w:r w:rsidR="00A5363D" w:rsidRPr="00C65BE8">
        <w:rPr>
          <w:rFonts w:ascii="Times New Roman" w:hAnsi="Times New Roman" w:cs="Times New Roman"/>
          <w:sz w:val="28"/>
          <w:szCs w:val="28"/>
        </w:rPr>
        <w:t>.</w:t>
      </w:r>
    </w:p>
    <w:p w:rsidR="00BD488D" w:rsidRPr="00C65BE8" w:rsidRDefault="00BD488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34D" w:rsidRPr="00C65BE8" w:rsidRDefault="00F47150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La legge  124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, come si è visto,  assegna </w:t>
      </w:r>
      <w:r w:rsidRPr="00C65BE8">
        <w:rPr>
          <w:rFonts w:ascii="Times New Roman" w:hAnsi="Times New Roman" w:cs="Times New Roman"/>
          <w:sz w:val="28"/>
          <w:szCs w:val="28"/>
        </w:rPr>
        <w:t xml:space="preserve">agli Enti Locali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dei ruoli operativi significativi </w:t>
      </w:r>
      <w:r w:rsidR="002C534D" w:rsidRPr="00C65BE8">
        <w:rPr>
          <w:rFonts w:ascii="Times New Roman" w:hAnsi="Times New Roman" w:cs="Times New Roman"/>
          <w:sz w:val="28"/>
          <w:szCs w:val="28"/>
        </w:rPr>
        <w:t xml:space="preserve">e  alle Regioni e Province Autonome rimane in prevalenza l’attività di indirizzo e di coordinamento, </w:t>
      </w:r>
      <w:r w:rsidRPr="00C65BE8">
        <w:rPr>
          <w:rFonts w:ascii="Times New Roman" w:hAnsi="Times New Roman" w:cs="Times New Roman"/>
          <w:sz w:val="28"/>
          <w:szCs w:val="28"/>
        </w:rPr>
        <w:t xml:space="preserve">ma non tutte le competenze sono pienamente definite per cui è da prevedere </w:t>
      </w:r>
      <w:r w:rsidR="00961691" w:rsidRPr="00C65BE8">
        <w:rPr>
          <w:rFonts w:ascii="Times New Roman" w:hAnsi="Times New Roman" w:cs="Times New Roman"/>
          <w:sz w:val="28"/>
          <w:szCs w:val="28"/>
        </w:rPr>
        <w:t>,in questa fase transitoria e di messa a regime</w:t>
      </w:r>
      <w:r w:rsidR="002C534D" w:rsidRPr="00C65BE8">
        <w:rPr>
          <w:rFonts w:ascii="Times New Roman" w:hAnsi="Times New Roman" w:cs="Times New Roman"/>
          <w:sz w:val="28"/>
          <w:szCs w:val="28"/>
        </w:rPr>
        <w:t xml:space="preserve"> dell’anagrafica,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Pr="00C65BE8">
        <w:rPr>
          <w:rFonts w:ascii="Times New Roman" w:hAnsi="Times New Roman" w:cs="Times New Roman"/>
          <w:sz w:val="28"/>
          <w:szCs w:val="28"/>
        </w:rPr>
        <w:t>l’attivazione d</w:t>
      </w:r>
      <w:r w:rsidR="00961691" w:rsidRPr="00C65BE8">
        <w:rPr>
          <w:rFonts w:ascii="Times New Roman" w:hAnsi="Times New Roman" w:cs="Times New Roman"/>
          <w:sz w:val="28"/>
          <w:szCs w:val="28"/>
        </w:rPr>
        <w:t>i un tavolo</w:t>
      </w:r>
      <w:r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961691" w:rsidRPr="00C65BE8">
        <w:rPr>
          <w:rFonts w:ascii="Times New Roman" w:hAnsi="Times New Roman" w:cs="Times New Roman"/>
          <w:sz w:val="28"/>
          <w:szCs w:val="28"/>
        </w:rPr>
        <w:t>tecnico</w:t>
      </w:r>
      <w:r w:rsidRPr="00C65BE8">
        <w:rPr>
          <w:rFonts w:ascii="Times New Roman" w:hAnsi="Times New Roman" w:cs="Times New Roman"/>
          <w:sz w:val="28"/>
          <w:szCs w:val="28"/>
        </w:rPr>
        <w:t xml:space="preserve"> che consenta di gestire </w:t>
      </w:r>
      <w:r w:rsidR="00961691" w:rsidRPr="00C65BE8">
        <w:rPr>
          <w:rFonts w:ascii="Times New Roman" w:hAnsi="Times New Roman" w:cs="Times New Roman"/>
          <w:sz w:val="28"/>
          <w:szCs w:val="28"/>
        </w:rPr>
        <w:t>l</w:t>
      </w:r>
      <w:r w:rsidRPr="00C65BE8">
        <w:rPr>
          <w:rFonts w:ascii="Times New Roman" w:hAnsi="Times New Roman" w:cs="Times New Roman"/>
          <w:sz w:val="28"/>
          <w:szCs w:val="28"/>
        </w:rPr>
        <w:t>e situazioni di criticità.</w:t>
      </w:r>
    </w:p>
    <w:p w:rsidR="002C534D" w:rsidRPr="00C65BE8" w:rsidRDefault="002C534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50" w:rsidRPr="00C65BE8" w:rsidRDefault="00881F73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t>Solo a titolo esemplificativo v</w:t>
      </w:r>
      <w:r w:rsidR="002C534D" w:rsidRPr="00C65BE8">
        <w:rPr>
          <w:rFonts w:ascii="Times New Roman" w:hAnsi="Times New Roman" w:cs="Times New Roman"/>
          <w:sz w:val="28"/>
          <w:szCs w:val="28"/>
        </w:rPr>
        <w:t>a condiviso il sistema che regola la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v</w:t>
      </w:r>
      <w:r w:rsidR="00F47150" w:rsidRPr="00C65BE8">
        <w:rPr>
          <w:rFonts w:ascii="Times New Roman" w:hAnsi="Times New Roman" w:cs="Times New Roman"/>
          <w:sz w:val="28"/>
          <w:szCs w:val="28"/>
        </w:rPr>
        <w:t>erifica</w:t>
      </w:r>
      <w:r w:rsidRPr="00C65BE8">
        <w:rPr>
          <w:rFonts w:ascii="Times New Roman" w:hAnsi="Times New Roman" w:cs="Times New Roman"/>
          <w:sz w:val="28"/>
          <w:szCs w:val="28"/>
        </w:rPr>
        <w:t xml:space="preserve"> :</w:t>
      </w:r>
      <w:r w:rsidR="00F47150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delle eventuali </w:t>
      </w:r>
      <w:r w:rsidR="00F47150" w:rsidRPr="00C65BE8">
        <w:rPr>
          <w:rFonts w:ascii="Times New Roman" w:hAnsi="Times New Roman" w:cs="Times New Roman"/>
          <w:sz w:val="28"/>
          <w:szCs w:val="28"/>
        </w:rPr>
        <w:t>incompatibilità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2C534D" w:rsidRPr="00C65BE8">
        <w:rPr>
          <w:rFonts w:ascii="Times New Roman" w:hAnsi="Times New Roman" w:cs="Times New Roman"/>
          <w:sz w:val="28"/>
          <w:szCs w:val="28"/>
        </w:rPr>
        <w:t>su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gli impianti già iscritti all’anagrafe </w:t>
      </w:r>
      <w:r w:rsidR="00F47150" w:rsidRPr="00C65BE8">
        <w:rPr>
          <w:rFonts w:ascii="Times New Roman" w:hAnsi="Times New Roman" w:cs="Times New Roman"/>
          <w:sz w:val="28"/>
          <w:szCs w:val="28"/>
        </w:rPr>
        <w:t xml:space="preserve">,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della realizzazione degli adeguamenti degli impianti dichiarati inizialmente incompatibili, della </w:t>
      </w:r>
      <w:r w:rsidRPr="00C65BE8">
        <w:rPr>
          <w:rFonts w:ascii="Times New Roman" w:hAnsi="Times New Roman" w:cs="Times New Roman"/>
          <w:sz w:val="28"/>
          <w:szCs w:val="28"/>
        </w:rPr>
        <w:t xml:space="preserve">attuazione degli di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F47150" w:rsidRPr="00C65BE8">
        <w:rPr>
          <w:rFonts w:ascii="Times New Roman" w:hAnsi="Times New Roman" w:cs="Times New Roman"/>
          <w:sz w:val="28"/>
          <w:szCs w:val="28"/>
        </w:rPr>
        <w:t>revoc</w:t>
      </w:r>
      <w:r w:rsidRPr="00C65BE8">
        <w:rPr>
          <w:rFonts w:ascii="Times New Roman" w:hAnsi="Times New Roman" w:cs="Times New Roman"/>
          <w:sz w:val="28"/>
          <w:szCs w:val="28"/>
        </w:rPr>
        <w:t>a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</w:t>
      </w:r>
      <w:r w:rsidR="00F47150" w:rsidRPr="00C65BE8">
        <w:rPr>
          <w:rFonts w:ascii="Times New Roman" w:hAnsi="Times New Roman" w:cs="Times New Roman"/>
          <w:sz w:val="28"/>
          <w:szCs w:val="28"/>
        </w:rPr>
        <w:t xml:space="preserve">, 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di </w:t>
      </w:r>
      <w:r w:rsidR="00F47150" w:rsidRPr="00C65BE8">
        <w:rPr>
          <w:rFonts w:ascii="Times New Roman" w:hAnsi="Times New Roman" w:cs="Times New Roman"/>
          <w:sz w:val="28"/>
          <w:szCs w:val="28"/>
        </w:rPr>
        <w:t>smantellamento e</w:t>
      </w:r>
      <w:r w:rsidR="00961691" w:rsidRPr="00C65BE8">
        <w:rPr>
          <w:rFonts w:ascii="Times New Roman" w:hAnsi="Times New Roman" w:cs="Times New Roman"/>
          <w:sz w:val="28"/>
          <w:szCs w:val="28"/>
        </w:rPr>
        <w:t xml:space="preserve"> di </w:t>
      </w:r>
      <w:r w:rsidR="00F47150" w:rsidRPr="00C65BE8">
        <w:rPr>
          <w:rFonts w:ascii="Times New Roman" w:hAnsi="Times New Roman" w:cs="Times New Roman"/>
          <w:sz w:val="28"/>
          <w:szCs w:val="28"/>
        </w:rPr>
        <w:t xml:space="preserve"> bonifi</w:t>
      </w:r>
      <w:r w:rsidRPr="00C65BE8">
        <w:rPr>
          <w:rFonts w:ascii="Times New Roman" w:hAnsi="Times New Roman" w:cs="Times New Roman"/>
          <w:sz w:val="28"/>
          <w:szCs w:val="28"/>
        </w:rPr>
        <w:t>ca.</w:t>
      </w:r>
    </w:p>
    <w:p w:rsidR="00881F73" w:rsidRPr="00C65BE8" w:rsidRDefault="00881F73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50" w:rsidRDefault="00881F73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BE8">
        <w:rPr>
          <w:rFonts w:ascii="Times New Roman" w:hAnsi="Times New Roman" w:cs="Times New Roman"/>
          <w:sz w:val="28"/>
          <w:szCs w:val="28"/>
        </w:rPr>
        <w:lastRenderedPageBreak/>
        <w:t>Concludo</w:t>
      </w:r>
      <w:r w:rsidR="00605EF4">
        <w:rPr>
          <w:rFonts w:ascii="Times New Roman" w:hAnsi="Times New Roman" w:cs="Times New Roman"/>
          <w:sz w:val="28"/>
          <w:szCs w:val="28"/>
        </w:rPr>
        <w:t>,</w:t>
      </w:r>
      <w:r w:rsidRPr="00C65BE8">
        <w:rPr>
          <w:rFonts w:ascii="Times New Roman" w:hAnsi="Times New Roman" w:cs="Times New Roman"/>
          <w:sz w:val="28"/>
          <w:szCs w:val="28"/>
        </w:rPr>
        <w:t xml:space="preserve"> con un ringraziamento sincero del gruppo ristretto del settore carburanti e mio personale a tutte le persone che in rappresentanza di istituzioni , enti o associazioni  hanno consentito di approvare l’accordo e di rendere proficuo </w:t>
      </w:r>
      <w:r w:rsidR="004D3F74">
        <w:rPr>
          <w:rFonts w:ascii="Times New Roman" w:hAnsi="Times New Roman" w:cs="Times New Roman"/>
          <w:sz w:val="28"/>
          <w:szCs w:val="28"/>
        </w:rPr>
        <w:t>la nostra collaborazione</w:t>
      </w:r>
      <w:r w:rsidRPr="00C65BE8">
        <w:rPr>
          <w:rFonts w:ascii="Times New Roman" w:hAnsi="Times New Roman" w:cs="Times New Roman"/>
          <w:sz w:val="28"/>
          <w:szCs w:val="28"/>
        </w:rPr>
        <w:t xml:space="preserve"> e mi auguro che questo lavoro “di squadra” possa andare avanti nel tempo in modo altrettanto </w:t>
      </w:r>
      <w:r w:rsidR="004D3F74">
        <w:rPr>
          <w:rFonts w:ascii="Times New Roman" w:hAnsi="Times New Roman" w:cs="Times New Roman"/>
          <w:sz w:val="28"/>
          <w:szCs w:val="28"/>
        </w:rPr>
        <w:t>efficace</w:t>
      </w:r>
      <w:r w:rsidRPr="00C65BE8">
        <w:rPr>
          <w:rFonts w:ascii="Times New Roman" w:hAnsi="Times New Roman" w:cs="Times New Roman"/>
          <w:sz w:val="28"/>
          <w:szCs w:val="28"/>
        </w:rPr>
        <w:t>.</w:t>
      </w:r>
    </w:p>
    <w:p w:rsidR="00C65BE8" w:rsidRDefault="00C65BE8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2D" w:rsidRDefault="001A6F2D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BE8" w:rsidRPr="00C65BE8" w:rsidRDefault="00C65BE8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3B7E" w:rsidRPr="00C65BE8" w:rsidRDefault="00182C7B" w:rsidP="00C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Innocenzo Di Donato</w:t>
      </w:r>
      <w:bookmarkStart w:id="0" w:name="_GoBack"/>
      <w:bookmarkEnd w:id="0"/>
    </w:p>
    <w:p w:rsidR="00673B7E" w:rsidRPr="00C65BE8" w:rsidRDefault="00673B7E" w:rsidP="00C65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2AD" w:rsidRPr="00C65BE8" w:rsidRDefault="007F42AD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AD" w:rsidRPr="00C65BE8" w:rsidRDefault="007F42AD" w:rsidP="00C65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AD" w:rsidRDefault="007F42AD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663" w:rsidRPr="00051B3A" w:rsidRDefault="00E27663" w:rsidP="00E276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AA0" w:rsidRDefault="001D3AA0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3B1" w:rsidRDefault="009243B1" w:rsidP="00E276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3B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FA" w:rsidRDefault="00A152FA" w:rsidP="00341EEC">
      <w:pPr>
        <w:spacing w:after="0" w:line="240" w:lineRule="auto"/>
      </w:pPr>
      <w:r>
        <w:separator/>
      </w:r>
    </w:p>
  </w:endnote>
  <w:endnote w:type="continuationSeparator" w:id="0">
    <w:p w:rsidR="00A152FA" w:rsidRDefault="00A152FA" w:rsidP="0034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93115"/>
      <w:docPartObj>
        <w:docPartGallery w:val="Page Numbers (Bottom of Page)"/>
        <w:docPartUnique/>
      </w:docPartObj>
    </w:sdtPr>
    <w:sdtEndPr/>
    <w:sdtContent>
      <w:p w:rsidR="00341EEC" w:rsidRDefault="00341E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7B">
          <w:rPr>
            <w:noProof/>
          </w:rPr>
          <w:t>7</w:t>
        </w:r>
        <w:r>
          <w:fldChar w:fldCharType="end"/>
        </w:r>
      </w:p>
    </w:sdtContent>
  </w:sdt>
  <w:p w:rsidR="00341EEC" w:rsidRDefault="00341E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FA" w:rsidRDefault="00A152FA" w:rsidP="00341EEC">
      <w:pPr>
        <w:spacing w:after="0" w:line="240" w:lineRule="auto"/>
      </w:pPr>
      <w:r>
        <w:separator/>
      </w:r>
    </w:p>
  </w:footnote>
  <w:footnote w:type="continuationSeparator" w:id="0">
    <w:p w:rsidR="00A152FA" w:rsidRDefault="00A152FA" w:rsidP="0034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B107D1"/>
    <w:multiLevelType w:val="hybridMultilevel"/>
    <w:tmpl w:val="3FF880FC"/>
    <w:lvl w:ilvl="0" w:tplc="847648C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3339"/>
    <w:multiLevelType w:val="hybridMultilevel"/>
    <w:tmpl w:val="7E02B0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109A3"/>
    <w:multiLevelType w:val="hybridMultilevel"/>
    <w:tmpl w:val="B55C2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87EF4"/>
    <w:multiLevelType w:val="multilevel"/>
    <w:tmpl w:val="57D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E263A"/>
    <w:multiLevelType w:val="hybridMultilevel"/>
    <w:tmpl w:val="6682DFB6"/>
    <w:lvl w:ilvl="0" w:tplc="A7562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24DA"/>
    <w:multiLevelType w:val="hybridMultilevel"/>
    <w:tmpl w:val="4CB65F0E"/>
    <w:lvl w:ilvl="0" w:tplc="5986E2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54185"/>
    <w:multiLevelType w:val="hybridMultilevel"/>
    <w:tmpl w:val="857EA8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921461"/>
    <w:multiLevelType w:val="hybridMultilevel"/>
    <w:tmpl w:val="ED940426"/>
    <w:lvl w:ilvl="0" w:tplc="7F30CB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06"/>
    <w:rsid w:val="00000ED9"/>
    <w:rsid w:val="00007D5F"/>
    <w:rsid w:val="00051B3A"/>
    <w:rsid w:val="00077C7D"/>
    <w:rsid w:val="00095318"/>
    <w:rsid w:val="000A4C93"/>
    <w:rsid w:val="000B1E4E"/>
    <w:rsid w:val="000C4781"/>
    <w:rsid w:val="000D1574"/>
    <w:rsid w:val="000E58E2"/>
    <w:rsid w:val="000F48C6"/>
    <w:rsid w:val="00124382"/>
    <w:rsid w:val="00140A52"/>
    <w:rsid w:val="00140EAD"/>
    <w:rsid w:val="00166911"/>
    <w:rsid w:val="001675C3"/>
    <w:rsid w:val="0017173C"/>
    <w:rsid w:val="00182C7B"/>
    <w:rsid w:val="00187505"/>
    <w:rsid w:val="00195CC8"/>
    <w:rsid w:val="001A2985"/>
    <w:rsid w:val="001A45B9"/>
    <w:rsid w:val="001A6F2D"/>
    <w:rsid w:val="001B3B90"/>
    <w:rsid w:val="001C4879"/>
    <w:rsid w:val="001C6559"/>
    <w:rsid w:val="001C6677"/>
    <w:rsid w:val="001D13B4"/>
    <w:rsid w:val="001D3AA0"/>
    <w:rsid w:val="001E11EB"/>
    <w:rsid w:val="001F1852"/>
    <w:rsid w:val="001F7E7C"/>
    <w:rsid w:val="00202462"/>
    <w:rsid w:val="002235C8"/>
    <w:rsid w:val="002525BF"/>
    <w:rsid w:val="002576D0"/>
    <w:rsid w:val="00263868"/>
    <w:rsid w:val="00266697"/>
    <w:rsid w:val="002825AE"/>
    <w:rsid w:val="002851BF"/>
    <w:rsid w:val="00285990"/>
    <w:rsid w:val="00290D4E"/>
    <w:rsid w:val="002A31EA"/>
    <w:rsid w:val="002B2D2F"/>
    <w:rsid w:val="002B2E7D"/>
    <w:rsid w:val="002B7D06"/>
    <w:rsid w:val="002C2796"/>
    <w:rsid w:val="002C51C5"/>
    <w:rsid w:val="002C534D"/>
    <w:rsid w:val="002D2E2B"/>
    <w:rsid w:val="00307BBA"/>
    <w:rsid w:val="00327CE4"/>
    <w:rsid w:val="0033003E"/>
    <w:rsid w:val="003342DE"/>
    <w:rsid w:val="00341EEC"/>
    <w:rsid w:val="003449E5"/>
    <w:rsid w:val="003474D0"/>
    <w:rsid w:val="003B2632"/>
    <w:rsid w:val="003C575E"/>
    <w:rsid w:val="003D70E7"/>
    <w:rsid w:val="004118EF"/>
    <w:rsid w:val="00460F8D"/>
    <w:rsid w:val="00470D06"/>
    <w:rsid w:val="0047341A"/>
    <w:rsid w:val="00473D09"/>
    <w:rsid w:val="004924AA"/>
    <w:rsid w:val="004943FF"/>
    <w:rsid w:val="00494F49"/>
    <w:rsid w:val="004A305C"/>
    <w:rsid w:val="004A41F1"/>
    <w:rsid w:val="004D3F74"/>
    <w:rsid w:val="004D5EB2"/>
    <w:rsid w:val="004D7D42"/>
    <w:rsid w:val="00503F32"/>
    <w:rsid w:val="00530F5E"/>
    <w:rsid w:val="00534A20"/>
    <w:rsid w:val="0055527E"/>
    <w:rsid w:val="005827ED"/>
    <w:rsid w:val="005905AB"/>
    <w:rsid w:val="00596B28"/>
    <w:rsid w:val="005C05B3"/>
    <w:rsid w:val="005C5144"/>
    <w:rsid w:val="005E441E"/>
    <w:rsid w:val="005E6446"/>
    <w:rsid w:val="005F5197"/>
    <w:rsid w:val="00605EF4"/>
    <w:rsid w:val="00606769"/>
    <w:rsid w:val="00614FDC"/>
    <w:rsid w:val="00620570"/>
    <w:rsid w:val="00653BE5"/>
    <w:rsid w:val="00654210"/>
    <w:rsid w:val="00673B7E"/>
    <w:rsid w:val="00673D0F"/>
    <w:rsid w:val="006775A1"/>
    <w:rsid w:val="00684E23"/>
    <w:rsid w:val="006C5A9D"/>
    <w:rsid w:val="006E7E1D"/>
    <w:rsid w:val="006F25E4"/>
    <w:rsid w:val="0070479C"/>
    <w:rsid w:val="00722070"/>
    <w:rsid w:val="00733E2C"/>
    <w:rsid w:val="00791AC0"/>
    <w:rsid w:val="007923BB"/>
    <w:rsid w:val="00796724"/>
    <w:rsid w:val="007D3E1F"/>
    <w:rsid w:val="007F42AD"/>
    <w:rsid w:val="007F4A9F"/>
    <w:rsid w:val="007F7E4A"/>
    <w:rsid w:val="00801ED9"/>
    <w:rsid w:val="00810E2E"/>
    <w:rsid w:val="00811DF7"/>
    <w:rsid w:val="00832EA0"/>
    <w:rsid w:val="00876EAE"/>
    <w:rsid w:val="00880C99"/>
    <w:rsid w:val="00881F73"/>
    <w:rsid w:val="008955CB"/>
    <w:rsid w:val="008C346C"/>
    <w:rsid w:val="008F4BB9"/>
    <w:rsid w:val="009243B1"/>
    <w:rsid w:val="00925450"/>
    <w:rsid w:val="009419BB"/>
    <w:rsid w:val="00950E26"/>
    <w:rsid w:val="00960086"/>
    <w:rsid w:val="00961691"/>
    <w:rsid w:val="009628BF"/>
    <w:rsid w:val="00963ECA"/>
    <w:rsid w:val="00973856"/>
    <w:rsid w:val="0097741B"/>
    <w:rsid w:val="009817E3"/>
    <w:rsid w:val="00983BB2"/>
    <w:rsid w:val="00990530"/>
    <w:rsid w:val="009C391C"/>
    <w:rsid w:val="009C563A"/>
    <w:rsid w:val="009D6240"/>
    <w:rsid w:val="009E2698"/>
    <w:rsid w:val="009F59EA"/>
    <w:rsid w:val="009F6064"/>
    <w:rsid w:val="00A152FA"/>
    <w:rsid w:val="00A5363D"/>
    <w:rsid w:val="00A83018"/>
    <w:rsid w:val="00A97E30"/>
    <w:rsid w:val="00AA3BE6"/>
    <w:rsid w:val="00AC4368"/>
    <w:rsid w:val="00AD1494"/>
    <w:rsid w:val="00B0593F"/>
    <w:rsid w:val="00B31512"/>
    <w:rsid w:val="00B34274"/>
    <w:rsid w:val="00B50B98"/>
    <w:rsid w:val="00B52897"/>
    <w:rsid w:val="00BC7059"/>
    <w:rsid w:val="00BD04B8"/>
    <w:rsid w:val="00BD488D"/>
    <w:rsid w:val="00BE62B1"/>
    <w:rsid w:val="00BF1E14"/>
    <w:rsid w:val="00C134C1"/>
    <w:rsid w:val="00C215F2"/>
    <w:rsid w:val="00C44355"/>
    <w:rsid w:val="00C61048"/>
    <w:rsid w:val="00C65BE8"/>
    <w:rsid w:val="00C86A2D"/>
    <w:rsid w:val="00CC3EFB"/>
    <w:rsid w:val="00CC451F"/>
    <w:rsid w:val="00CF059D"/>
    <w:rsid w:val="00D052AF"/>
    <w:rsid w:val="00D2581F"/>
    <w:rsid w:val="00D310CB"/>
    <w:rsid w:val="00D4165B"/>
    <w:rsid w:val="00D4339B"/>
    <w:rsid w:val="00D9161D"/>
    <w:rsid w:val="00DC2700"/>
    <w:rsid w:val="00DC3B2B"/>
    <w:rsid w:val="00DC7D2F"/>
    <w:rsid w:val="00DF14C7"/>
    <w:rsid w:val="00DF73DD"/>
    <w:rsid w:val="00E026BC"/>
    <w:rsid w:val="00E247B7"/>
    <w:rsid w:val="00E27663"/>
    <w:rsid w:val="00E504C9"/>
    <w:rsid w:val="00E54865"/>
    <w:rsid w:val="00E62B13"/>
    <w:rsid w:val="00E66650"/>
    <w:rsid w:val="00EC4ECB"/>
    <w:rsid w:val="00EC7402"/>
    <w:rsid w:val="00EE2D86"/>
    <w:rsid w:val="00F051A5"/>
    <w:rsid w:val="00F40F6F"/>
    <w:rsid w:val="00F459E1"/>
    <w:rsid w:val="00F47150"/>
    <w:rsid w:val="00F5586D"/>
    <w:rsid w:val="00F6133D"/>
    <w:rsid w:val="00F71288"/>
    <w:rsid w:val="00F85B99"/>
    <w:rsid w:val="00FB3CD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rsid w:val="00470D06"/>
    <w:pPr>
      <w:spacing w:after="140" w:line="288" w:lineRule="auto"/>
      <w:jc w:val="both"/>
    </w:pPr>
    <w:rPr>
      <w:rFonts w:ascii="Arial" w:hAnsi="Arial" w:cs="Arial"/>
      <w:sz w:val="20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470D06"/>
    <w:pPr>
      <w:ind w:left="720"/>
      <w:contextualSpacing/>
    </w:pPr>
  </w:style>
  <w:style w:type="paragraph" w:customStyle="1" w:styleId="wordsection1">
    <w:name w:val="wordsection1"/>
    <w:basedOn w:val="Normale"/>
    <w:uiPriority w:val="99"/>
    <w:rsid w:val="00470D0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1F"/>
    <w:rPr>
      <w:rFonts w:ascii="Segoe UI" w:hAnsi="Segoe UI" w:cs="Segoe UI"/>
      <w:sz w:val="18"/>
      <w:szCs w:val="18"/>
    </w:rPr>
  </w:style>
  <w:style w:type="paragraph" w:customStyle="1" w:styleId="comma2">
    <w:name w:val="comma2"/>
    <w:basedOn w:val="Normale"/>
    <w:rsid w:val="00D2581F"/>
    <w:pPr>
      <w:spacing w:after="0" w:line="300" w:lineRule="atLeast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91AC0"/>
    <w:pPr>
      <w:spacing w:after="200" w:line="276" w:lineRule="auto"/>
    </w:pPr>
    <w:rPr>
      <w:rFonts w:ascii="Calibri" w:eastAsia="Times New Roman" w:hAnsi="Calibri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791AC0"/>
    <w:rPr>
      <w:rFonts w:ascii="Calibri" w:eastAsia="Times New Roman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766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D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B98"/>
  </w:style>
  <w:style w:type="paragraph" w:styleId="Intestazione">
    <w:name w:val="header"/>
    <w:basedOn w:val="Normale"/>
    <w:link w:val="IntestazioneCarattere"/>
    <w:uiPriority w:val="99"/>
    <w:unhideWhenUsed/>
    <w:rsid w:val="00341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EEC"/>
  </w:style>
  <w:style w:type="paragraph" w:styleId="Revisione">
    <w:name w:val="Revision"/>
    <w:hidden/>
    <w:uiPriority w:val="99"/>
    <w:semiHidden/>
    <w:rsid w:val="002576D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774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74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74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4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4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rsid w:val="00470D06"/>
    <w:pPr>
      <w:spacing w:after="140" w:line="288" w:lineRule="auto"/>
      <w:jc w:val="both"/>
    </w:pPr>
    <w:rPr>
      <w:rFonts w:ascii="Arial" w:hAnsi="Arial" w:cs="Arial"/>
      <w:sz w:val="20"/>
      <w:szCs w:val="20"/>
      <w:lang w:eastAsia="en-GB"/>
    </w:rPr>
  </w:style>
  <w:style w:type="paragraph" w:styleId="Paragrafoelenco">
    <w:name w:val="List Paragraph"/>
    <w:basedOn w:val="Normale"/>
    <w:uiPriority w:val="34"/>
    <w:qFormat/>
    <w:rsid w:val="00470D06"/>
    <w:pPr>
      <w:ind w:left="720"/>
      <w:contextualSpacing/>
    </w:pPr>
  </w:style>
  <w:style w:type="paragraph" w:customStyle="1" w:styleId="wordsection1">
    <w:name w:val="wordsection1"/>
    <w:basedOn w:val="Normale"/>
    <w:uiPriority w:val="99"/>
    <w:rsid w:val="00470D0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1F"/>
    <w:rPr>
      <w:rFonts w:ascii="Segoe UI" w:hAnsi="Segoe UI" w:cs="Segoe UI"/>
      <w:sz w:val="18"/>
      <w:szCs w:val="18"/>
    </w:rPr>
  </w:style>
  <w:style w:type="paragraph" w:customStyle="1" w:styleId="comma2">
    <w:name w:val="comma2"/>
    <w:basedOn w:val="Normale"/>
    <w:rsid w:val="00D2581F"/>
    <w:pPr>
      <w:spacing w:after="0" w:line="300" w:lineRule="atLeast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91AC0"/>
    <w:pPr>
      <w:spacing w:after="200" w:line="276" w:lineRule="auto"/>
    </w:pPr>
    <w:rPr>
      <w:rFonts w:ascii="Calibri" w:eastAsia="Times New Roman" w:hAnsi="Calibri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791AC0"/>
    <w:rPr>
      <w:rFonts w:ascii="Calibri" w:eastAsia="Times New Roman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2766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D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0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B98"/>
  </w:style>
  <w:style w:type="paragraph" w:styleId="Intestazione">
    <w:name w:val="header"/>
    <w:basedOn w:val="Normale"/>
    <w:link w:val="IntestazioneCarattere"/>
    <w:uiPriority w:val="99"/>
    <w:unhideWhenUsed/>
    <w:rsid w:val="00341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EEC"/>
  </w:style>
  <w:style w:type="paragraph" w:styleId="Revisione">
    <w:name w:val="Revision"/>
    <w:hidden/>
    <w:uiPriority w:val="99"/>
    <w:semiHidden/>
    <w:rsid w:val="002576D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9774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74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74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4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8282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0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0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Perrella</dc:creator>
  <cp:lastModifiedBy>Innocenzo Di Donato</cp:lastModifiedBy>
  <cp:revision>6</cp:revision>
  <cp:lastPrinted>2018-06-18T09:40:00Z</cp:lastPrinted>
  <dcterms:created xsi:type="dcterms:W3CDTF">2018-06-18T09:39:00Z</dcterms:created>
  <dcterms:modified xsi:type="dcterms:W3CDTF">2018-07-04T11:39:00Z</dcterms:modified>
</cp:coreProperties>
</file>