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3A" w:rsidRPr="00E96E3A" w:rsidRDefault="005D02D6" w:rsidP="00E96E3A">
      <w:pPr>
        <w:spacing w:after="0" w:line="240" w:lineRule="auto"/>
        <w:jc w:val="center"/>
        <w:rPr>
          <w:b/>
          <w:sz w:val="36"/>
          <w:szCs w:val="36"/>
        </w:rPr>
      </w:pPr>
      <w:r w:rsidRPr="00E96E3A">
        <w:rPr>
          <w:b/>
          <w:sz w:val="36"/>
          <w:szCs w:val="36"/>
        </w:rPr>
        <w:t>Quadro di raffronto</w:t>
      </w:r>
    </w:p>
    <w:p w:rsidR="006E484A" w:rsidRPr="00492CE7" w:rsidRDefault="005D02D6" w:rsidP="005D02D6">
      <w:pPr>
        <w:spacing w:after="0" w:line="240" w:lineRule="auto"/>
        <w:jc w:val="both"/>
        <w:rPr>
          <w:b/>
          <w:sz w:val="24"/>
          <w:szCs w:val="24"/>
        </w:rPr>
      </w:pPr>
      <w:r w:rsidRPr="00492CE7">
        <w:rPr>
          <w:b/>
          <w:sz w:val="24"/>
          <w:szCs w:val="24"/>
        </w:rPr>
        <w:t xml:space="preserve">tra le azioni e gli investimenti previsti dalla scheda della sottomisura </w:t>
      </w:r>
      <w:r w:rsidR="003173A3">
        <w:rPr>
          <w:b/>
          <w:sz w:val="24"/>
          <w:szCs w:val="24"/>
        </w:rPr>
        <w:t>12</w:t>
      </w:r>
      <w:r w:rsidRPr="00492CE7">
        <w:rPr>
          <w:b/>
          <w:sz w:val="24"/>
          <w:szCs w:val="24"/>
        </w:rPr>
        <w:t>.</w:t>
      </w:r>
      <w:r w:rsidR="003173A3">
        <w:rPr>
          <w:b/>
          <w:sz w:val="24"/>
          <w:szCs w:val="24"/>
        </w:rPr>
        <w:t>2</w:t>
      </w:r>
      <w:r w:rsidRPr="00492CE7">
        <w:rPr>
          <w:b/>
          <w:sz w:val="24"/>
          <w:szCs w:val="24"/>
        </w:rPr>
        <w:t xml:space="preserve"> del PSR Marche 2014/20 e l’articolo 3</w:t>
      </w:r>
      <w:r w:rsidR="003173A3">
        <w:rPr>
          <w:b/>
          <w:sz w:val="24"/>
          <w:szCs w:val="24"/>
        </w:rPr>
        <w:t>6</w:t>
      </w:r>
      <w:r w:rsidRPr="00492CE7">
        <w:rPr>
          <w:b/>
          <w:sz w:val="24"/>
          <w:szCs w:val="24"/>
        </w:rPr>
        <w:t xml:space="preserve"> del Reg. (UE) n. 702/2014 della Commissione del 25 giugno 2014 (GUCE L193/1 del 01/07/2014</w:t>
      </w:r>
      <w:r w:rsidR="00EE7D4A">
        <w:rPr>
          <w:b/>
          <w:sz w:val="24"/>
          <w:szCs w:val="24"/>
        </w:rPr>
        <w:t>)</w:t>
      </w:r>
      <w:r w:rsidRPr="00492CE7">
        <w:rPr>
          <w:b/>
          <w:sz w:val="24"/>
          <w:szCs w:val="24"/>
        </w:rPr>
        <w:t>.</w:t>
      </w:r>
    </w:p>
    <w:p w:rsidR="000D5CB1" w:rsidRDefault="000D5CB1" w:rsidP="005D02D6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F2B0E" w:rsidRPr="000D5CB1" w:rsidTr="00FF2B0E">
        <w:tc>
          <w:tcPr>
            <w:tcW w:w="4889" w:type="dxa"/>
          </w:tcPr>
          <w:p w:rsidR="00FF2B0E" w:rsidRPr="000D5CB1" w:rsidRDefault="00FF2B0E" w:rsidP="00157B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5CB1">
              <w:rPr>
                <w:rFonts w:cstheme="minorHAnsi"/>
                <w:b/>
                <w:sz w:val="24"/>
                <w:szCs w:val="24"/>
              </w:rPr>
              <w:t>Reg. (UE) n. 702/2014</w:t>
            </w:r>
            <w:r w:rsidR="001B7550">
              <w:rPr>
                <w:rFonts w:cstheme="minorHAnsi"/>
                <w:b/>
                <w:sz w:val="24"/>
                <w:szCs w:val="24"/>
              </w:rPr>
              <w:t xml:space="preserve">, articolo </w:t>
            </w:r>
            <w:r w:rsidR="00157B27">
              <w:rPr>
                <w:rFonts w:cstheme="minorHAnsi"/>
                <w:b/>
                <w:sz w:val="24"/>
                <w:szCs w:val="24"/>
              </w:rPr>
              <w:t>36</w:t>
            </w:r>
          </w:p>
        </w:tc>
        <w:tc>
          <w:tcPr>
            <w:tcW w:w="4889" w:type="dxa"/>
          </w:tcPr>
          <w:p w:rsidR="00492CE7" w:rsidRDefault="00FF2B0E" w:rsidP="00FF2B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5CB1">
              <w:rPr>
                <w:rFonts w:cstheme="minorHAnsi"/>
                <w:b/>
                <w:sz w:val="24"/>
                <w:szCs w:val="24"/>
              </w:rPr>
              <w:t xml:space="preserve">Scheda della sottomisura </w:t>
            </w:r>
            <w:r w:rsidR="00CC6A39">
              <w:rPr>
                <w:rFonts w:cstheme="minorHAnsi"/>
                <w:b/>
                <w:sz w:val="24"/>
                <w:szCs w:val="24"/>
              </w:rPr>
              <w:t>12.2</w:t>
            </w:r>
            <w:r w:rsidR="00492CE7">
              <w:rPr>
                <w:rFonts w:cstheme="minorHAnsi"/>
                <w:b/>
                <w:sz w:val="24"/>
                <w:szCs w:val="24"/>
              </w:rPr>
              <w:t xml:space="preserve"> del</w:t>
            </w:r>
          </w:p>
          <w:p w:rsidR="00FF2B0E" w:rsidRPr="000D5CB1" w:rsidRDefault="00FF2B0E" w:rsidP="00FF2B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5CB1">
              <w:rPr>
                <w:rFonts w:cstheme="minorHAnsi"/>
                <w:b/>
                <w:sz w:val="24"/>
                <w:szCs w:val="24"/>
              </w:rPr>
              <w:t>PSR Marche 2014/20</w:t>
            </w:r>
          </w:p>
        </w:tc>
      </w:tr>
      <w:tr w:rsidR="00FF2B0E" w:rsidRPr="000D5CB1" w:rsidTr="00FF2B0E">
        <w:tc>
          <w:tcPr>
            <w:tcW w:w="4889" w:type="dxa"/>
          </w:tcPr>
          <w:p w:rsidR="00FF2B0E" w:rsidRDefault="00FF2B0E" w:rsidP="00FF2B0E">
            <w:pPr>
              <w:jc w:val="both"/>
              <w:rPr>
                <w:rFonts w:cstheme="minorHAnsi"/>
                <w:sz w:val="24"/>
                <w:szCs w:val="24"/>
              </w:rPr>
            </w:pPr>
            <w:r w:rsidRPr="000D5CB1">
              <w:rPr>
                <w:rFonts w:cstheme="minorHAnsi"/>
                <w:sz w:val="24"/>
                <w:szCs w:val="24"/>
              </w:rPr>
              <w:t xml:space="preserve">Paragrafo 1., beneficiari: </w:t>
            </w:r>
            <w:r w:rsidR="00D90AF9" w:rsidRPr="00D90AF9">
              <w:rPr>
                <w:rFonts w:cstheme="minorHAnsi"/>
                <w:sz w:val="24"/>
                <w:szCs w:val="24"/>
              </w:rPr>
              <w:t>silvicoltori privati e loro consorzi</w:t>
            </w:r>
          </w:p>
          <w:p w:rsidR="00D90AF9" w:rsidRDefault="00D90AF9" w:rsidP="00FF2B0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3173A3" w:rsidRPr="000D5CB1" w:rsidRDefault="00264320" w:rsidP="00FF2B0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19"/>
                <w:szCs w:val="19"/>
              </w:rPr>
              <w:t>Gli aiuti per gli svantaggi correlati alle zone forestali Natura 2000 definite all'articolo 3 della direttiva 92/43/CEE e all'articolo 3 della direttiva 2009/147/CE concessi a silvicoltori privati e loro consorzi sono compatibili con il mercato interno ai sensi dell'articolo 107, paragrafo 3, lettera c), del trattato e sono esentati dall'obbligo di notifica di cui all'articolo 108, paragrafo 3, dello stesso se soddisfano le condizioni di cui ai paragrafi da 2 a 6 del presente articolo e al capo</w:t>
            </w:r>
          </w:p>
        </w:tc>
        <w:tc>
          <w:tcPr>
            <w:tcW w:w="4889" w:type="dxa"/>
          </w:tcPr>
          <w:p w:rsidR="00FF2B0E" w:rsidRPr="000D5CB1" w:rsidRDefault="00FF2B0E" w:rsidP="003173A3">
            <w:pPr>
              <w:jc w:val="both"/>
              <w:rPr>
                <w:rFonts w:cstheme="minorHAnsi"/>
                <w:sz w:val="24"/>
                <w:szCs w:val="24"/>
              </w:rPr>
            </w:pPr>
            <w:r w:rsidRPr="000D5CB1">
              <w:rPr>
                <w:rFonts w:cstheme="minorHAnsi"/>
                <w:sz w:val="24"/>
                <w:szCs w:val="24"/>
              </w:rPr>
              <w:t>Sì, come da elenco beneficiari di cui al paragrafo 8.2.</w:t>
            </w:r>
            <w:r w:rsidR="003173A3">
              <w:rPr>
                <w:rFonts w:cstheme="minorHAnsi"/>
                <w:sz w:val="24"/>
                <w:szCs w:val="24"/>
              </w:rPr>
              <w:t>12</w:t>
            </w:r>
            <w:r w:rsidRPr="000D5CB1">
              <w:rPr>
                <w:rFonts w:cstheme="minorHAnsi"/>
                <w:sz w:val="24"/>
                <w:szCs w:val="24"/>
              </w:rPr>
              <w:t>.3.</w:t>
            </w:r>
            <w:r w:rsidR="003173A3">
              <w:rPr>
                <w:rFonts w:cstheme="minorHAnsi"/>
                <w:sz w:val="24"/>
                <w:szCs w:val="24"/>
              </w:rPr>
              <w:t>2</w:t>
            </w:r>
            <w:r w:rsidRPr="000D5CB1">
              <w:rPr>
                <w:rFonts w:cstheme="minorHAnsi"/>
                <w:sz w:val="24"/>
                <w:szCs w:val="24"/>
              </w:rPr>
              <w:t>.4 “Beneficiari”</w:t>
            </w:r>
            <w:r w:rsidR="009F60D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F2B0E" w:rsidRPr="000D5CB1" w:rsidTr="00FF2B0E">
        <w:tc>
          <w:tcPr>
            <w:tcW w:w="4889" w:type="dxa"/>
          </w:tcPr>
          <w:p w:rsidR="00D90AF9" w:rsidRDefault="00727DE9" w:rsidP="00727DE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szCs w:val="24"/>
              </w:rPr>
            </w:pPr>
            <w:r w:rsidRPr="000D5CB1">
              <w:rPr>
                <w:rFonts w:asciiTheme="minorHAnsi" w:hAnsiTheme="minorHAnsi" w:cstheme="minorHAnsi"/>
                <w:szCs w:val="24"/>
              </w:rPr>
              <w:t xml:space="preserve">Paragrafo 2, lettera a), punto i), </w:t>
            </w:r>
          </w:p>
          <w:p w:rsidR="00D90AF9" w:rsidRDefault="00264320" w:rsidP="00727DE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szCs w:val="24"/>
              </w:rPr>
            </w:pPr>
            <w:r>
              <w:rPr>
                <w:sz w:val="19"/>
                <w:szCs w:val="19"/>
              </w:rPr>
              <w:t>i) come aiuti cofinanziati dal FEASR;</w:t>
            </w:r>
          </w:p>
          <w:p w:rsidR="00D90AF9" w:rsidRDefault="00D90AF9" w:rsidP="00727DE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szCs w:val="24"/>
              </w:rPr>
            </w:pPr>
          </w:p>
          <w:p w:rsidR="00D90AF9" w:rsidRDefault="00D90AF9" w:rsidP="00727DE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szCs w:val="24"/>
              </w:rPr>
            </w:pPr>
          </w:p>
          <w:p w:rsidR="00D90AF9" w:rsidRDefault="00D90AF9" w:rsidP="00727DE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szCs w:val="24"/>
              </w:rPr>
            </w:pPr>
          </w:p>
          <w:p w:rsidR="00D90AF9" w:rsidRDefault="00D90AF9" w:rsidP="00727DE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szCs w:val="24"/>
              </w:rPr>
            </w:pPr>
          </w:p>
          <w:p w:rsidR="00D90AF9" w:rsidRDefault="00D90AF9" w:rsidP="00727DE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szCs w:val="24"/>
              </w:rPr>
            </w:pPr>
          </w:p>
          <w:p w:rsidR="00FF2B0E" w:rsidRDefault="00727DE9" w:rsidP="00727DE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szCs w:val="24"/>
              </w:rPr>
            </w:pPr>
            <w:r w:rsidRPr="000D5CB1">
              <w:rPr>
                <w:rFonts w:asciiTheme="minorHAnsi" w:hAnsiTheme="minorHAnsi" w:cstheme="minorHAnsi"/>
                <w:szCs w:val="24"/>
              </w:rPr>
              <w:t>e lettera b)</w:t>
            </w:r>
          </w:p>
          <w:p w:rsidR="00264320" w:rsidRPr="00264320" w:rsidRDefault="00264320" w:rsidP="00264320">
            <w:pPr>
              <w:pStyle w:val="Text1"/>
            </w:pPr>
            <w:r>
              <w:rPr>
                <w:sz w:val="19"/>
                <w:szCs w:val="19"/>
              </w:rPr>
              <w:t>b) sono identici alla relativa misura di sviluppo rurale prevista nel programma di sviluppo rurale di cui alla lettera a).</w:t>
            </w:r>
          </w:p>
        </w:tc>
        <w:tc>
          <w:tcPr>
            <w:tcW w:w="4889" w:type="dxa"/>
          </w:tcPr>
          <w:p w:rsidR="00D90AF9" w:rsidRDefault="00727DE9" w:rsidP="00D90AF9">
            <w:pPr>
              <w:jc w:val="both"/>
              <w:rPr>
                <w:rFonts w:cstheme="minorHAnsi"/>
                <w:sz w:val="24"/>
                <w:szCs w:val="24"/>
              </w:rPr>
            </w:pPr>
            <w:r w:rsidRPr="000D5CB1">
              <w:rPr>
                <w:rFonts w:cstheme="minorHAnsi"/>
                <w:sz w:val="24"/>
                <w:szCs w:val="24"/>
              </w:rPr>
              <w:t xml:space="preserve">Sì, la sottomisura </w:t>
            </w:r>
            <w:r w:rsidR="00321999">
              <w:rPr>
                <w:rFonts w:cstheme="minorHAnsi"/>
                <w:sz w:val="24"/>
                <w:szCs w:val="24"/>
              </w:rPr>
              <w:t>12</w:t>
            </w:r>
            <w:r w:rsidRPr="000D5CB1">
              <w:rPr>
                <w:rFonts w:cstheme="minorHAnsi"/>
                <w:sz w:val="24"/>
                <w:szCs w:val="24"/>
              </w:rPr>
              <w:t>.</w:t>
            </w:r>
            <w:r w:rsidR="00321999">
              <w:rPr>
                <w:rFonts w:cstheme="minorHAnsi"/>
                <w:sz w:val="24"/>
                <w:szCs w:val="24"/>
              </w:rPr>
              <w:t>2</w:t>
            </w:r>
            <w:r w:rsidRPr="000D5CB1">
              <w:rPr>
                <w:rFonts w:cstheme="minorHAnsi"/>
                <w:sz w:val="24"/>
                <w:szCs w:val="24"/>
              </w:rPr>
              <w:t xml:space="preserve"> è contenuta nel PSR Marche </w:t>
            </w:r>
            <w:r w:rsidR="00EE7D4A">
              <w:rPr>
                <w:rFonts w:cstheme="minorHAnsi"/>
                <w:sz w:val="24"/>
                <w:szCs w:val="24"/>
              </w:rPr>
              <w:t xml:space="preserve">2014/20 </w:t>
            </w:r>
            <w:r w:rsidR="00D90AF9">
              <w:rPr>
                <w:rFonts w:cstheme="minorHAnsi"/>
                <w:sz w:val="24"/>
                <w:szCs w:val="24"/>
              </w:rPr>
              <w:t xml:space="preserve">inizialmente </w:t>
            </w:r>
            <w:r w:rsidRPr="000D5CB1">
              <w:rPr>
                <w:rFonts w:cstheme="minorHAnsi"/>
                <w:sz w:val="24"/>
                <w:szCs w:val="24"/>
              </w:rPr>
              <w:t xml:space="preserve">approvato con Decisione di esecuzione della Commissione C(2015) 5345 </w:t>
            </w:r>
            <w:proofErr w:type="spellStart"/>
            <w:r w:rsidRPr="000D5CB1">
              <w:rPr>
                <w:rFonts w:cstheme="minorHAnsi"/>
                <w:sz w:val="24"/>
                <w:szCs w:val="24"/>
              </w:rPr>
              <w:t>final</w:t>
            </w:r>
            <w:proofErr w:type="spellEnd"/>
            <w:r w:rsidRPr="000D5CB1">
              <w:rPr>
                <w:rFonts w:cstheme="minorHAnsi"/>
                <w:sz w:val="24"/>
                <w:szCs w:val="24"/>
              </w:rPr>
              <w:t xml:space="preserve"> del 28/07/2015</w:t>
            </w:r>
            <w:r w:rsidR="00D90AF9">
              <w:rPr>
                <w:rFonts w:cstheme="minorHAnsi"/>
                <w:sz w:val="24"/>
                <w:szCs w:val="24"/>
              </w:rPr>
              <w:t>,</w:t>
            </w:r>
            <w:r w:rsidR="00EE7D4A">
              <w:rPr>
                <w:rFonts w:cstheme="minorHAnsi"/>
                <w:sz w:val="24"/>
                <w:szCs w:val="24"/>
              </w:rPr>
              <w:t xml:space="preserve"> </w:t>
            </w:r>
            <w:r w:rsidR="00D90AF9">
              <w:rPr>
                <w:rFonts w:cstheme="minorHAnsi"/>
                <w:sz w:val="24"/>
                <w:szCs w:val="24"/>
              </w:rPr>
              <w:t xml:space="preserve">la cui modifica è stata successivamente approvata con </w:t>
            </w:r>
            <w:r w:rsidR="00D90AF9" w:rsidRPr="00D90AF9">
              <w:rPr>
                <w:rFonts w:cstheme="minorHAnsi"/>
                <w:sz w:val="24"/>
                <w:szCs w:val="24"/>
              </w:rPr>
              <w:t>Decisione di esecuzione della Commissione C(201</w:t>
            </w:r>
            <w:r w:rsidR="00D90AF9">
              <w:rPr>
                <w:rFonts w:cstheme="minorHAnsi"/>
                <w:sz w:val="24"/>
                <w:szCs w:val="24"/>
              </w:rPr>
              <w:t>7</w:t>
            </w:r>
            <w:r w:rsidR="00D90AF9" w:rsidRPr="00D90AF9">
              <w:rPr>
                <w:rFonts w:cstheme="minorHAnsi"/>
                <w:sz w:val="24"/>
                <w:szCs w:val="24"/>
              </w:rPr>
              <w:t xml:space="preserve">) </w:t>
            </w:r>
            <w:r w:rsidR="00D90AF9">
              <w:rPr>
                <w:rFonts w:cstheme="minorHAnsi"/>
                <w:sz w:val="24"/>
                <w:szCs w:val="24"/>
              </w:rPr>
              <w:t>1157</w:t>
            </w:r>
            <w:r w:rsidR="00D90AF9" w:rsidRPr="00D90A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90AF9" w:rsidRPr="00D90AF9">
              <w:rPr>
                <w:rFonts w:cstheme="minorHAnsi"/>
                <w:sz w:val="24"/>
                <w:szCs w:val="24"/>
              </w:rPr>
              <w:t>final</w:t>
            </w:r>
            <w:proofErr w:type="spellEnd"/>
            <w:r w:rsidR="00D90AF9" w:rsidRPr="00D90AF9">
              <w:rPr>
                <w:rFonts w:cstheme="minorHAnsi"/>
                <w:sz w:val="24"/>
                <w:szCs w:val="24"/>
              </w:rPr>
              <w:t xml:space="preserve"> del </w:t>
            </w:r>
            <w:r w:rsidR="00D90AF9">
              <w:rPr>
                <w:rFonts w:cstheme="minorHAnsi"/>
                <w:sz w:val="24"/>
                <w:szCs w:val="24"/>
              </w:rPr>
              <w:t>14</w:t>
            </w:r>
            <w:r w:rsidR="00D90AF9" w:rsidRPr="00D90AF9">
              <w:rPr>
                <w:rFonts w:cstheme="minorHAnsi"/>
                <w:sz w:val="24"/>
                <w:szCs w:val="24"/>
              </w:rPr>
              <w:t>/0</w:t>
            </w:r>
            <w:r w:rsidR="00D90AF9">
              <w:rPr>
                <w:rFonts w:cstheme="minorHAnsi"/>
                <w:sz w:val="24"/>
                <w:szCs w:val="24"/>
              </w:rPr>
              <w:t>2</w:t>
            </w:r>
            <w:r w:rsidR="00D90AF9" w:rsidRPr="00D90AF9">
              <w:rPr>
                <w:rFonts w:cstheme="minorHAnsi"/>
                <w:sz w:val="24"/>
                <w:szCs w:val="24"/>
              </w:rPr>
              <w:t>/201</w:t>
            </w:r>
            <w:r w:rsidR="00D90AF9">
              <w:rPr>
                <w:rFonts w:cstheme="minorHAnsi"/>
                <w:sz w:val="24"/>
                <w:szCs w:val="24"/>
              </w:rPr>
              <w:t>7</w:t>
            </w:r>
            <w:r w:rsidR="00D90AF9" w:rsidRPr="00D90AF9">
              <w:rPr>
                <w:rFonts w:cstheme="minorHAnsi"/>
                <w:sz w:val="24"/>
                <w:szCs w:val="24"/>
              </w:rPr>
              <w:t xml:space="preserve"> </w:t>
            </w:r>
            <w:r w:rsidR="00EE7D4A">
              <w:rPr>
                <w:rFonts w:cstheme="minorHAnsi"/>
                <w:sz w:val="24"/>
                <w:szCs w:val="24"/>
              </w:rPr>
              <w:t xml:space="preserve">e, senza modifiche, con Deliberazione amministrativa dell’Assemblea legislativa regionale n. </w:t>
            </w:r>
            <w:r w:rsidR="00D90AF9">
              <w:rPr>
                <w:rFonts w:cstheme="minorHAnsi"/>
                <w:sz w:val="24"/>
                <w:szCs w:val="24"/>
              </w:rPr>
              <w:t>46</w:t>
            </w:r>
            <w:r w:rsidR="00EE7D4A">
              <w:rPr>
                <w:rFonts w:cstheme="minorHAnsi"/>
                <w:sz w:val="24"/>
                <w:szCs w:val="24"/>
              </w:rPr>
              <w:t xml:space="preserve"> del 1</w:t>
            </w:r>
            <w:r w:rsidR="00D90AF9">
              <w:rPr>
                <w:rFonts w:cstheme="minorHAnsi"/>
                <w:sz w:val="24"/>
                <w:szCs w:val="24"/>
              </w:rPr>
              <w:t>4</w:t>
            </w:r>
            <w:r w:rsidR="00EE7D4A">
              <w:rPr>
                <w:rFonts w:cstheme="minorHAnsi"/>
                <w:sz w:val="24"/>
                <w:szCs w:val="24"/>
              </w:rPr>
              <w:t>/0</w:t>
            </w:r>
            <w:r w:rsidR="00D90AF9">
              <w:rPr>
                <w:rFonts w:cstheme="minorHAnsi"/>
                <w:sz w:val="24"/>
                <w:szCs w:val="24"/>
              </w:rPr>
              <w:t>2</w:t>
            </w:r>
            <w:r w:rsidR="00EE7D4A">
              <w:rPr>
                <w:rFonts w:cstheme="minorHAnsi"/>
                <w:sz w:val="24"/>
                <w:szCs w:val="24"/>
              </w:rPr>
              <w:t>/201</w:t>
            </w:r>
            <w:r w:rsidR="00D90AF9">
              <w:rPr>
                <w:rFonts w:cstheme="minorHAnsi"/>
                <w:sz w:val="24"/>
                <w:szCs w:val="24"/>
              </w:rPr>
              <w:t>7</w:t>
            </w:r>
            <w:r w:rsidRPr="000D5CB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F2B0E" w:rsidRPr="000D5CB1" w:rsidRDefault="00727DE9" w:rsidP="00D90AF9">
            <w:pPr>
              <w:jc w:val="both"/>
              <w:rPr>
                <w:rFonts w:cstheme="minorHAnsi"/>
                <w:sz w:val="24"/>
                <w:szCs w:val="24"/>
              </w:rPr>
            </w:pPr>
            <w:r w:rsidRPr="000D5CB1">
              <w:rPr>
                <w:rFonts w:cstheme="minorHAnsi"/>
                <w:sz w:val="24"/>
                <w:szCs w:val="24"/>
              </w:rPr>
              <w:t xml:space="preserve">e quanto si comunica per </w:t>
            </w:r>
            <w:r w:rsidR="00490F40">
              <w:rPr>
                <w:rFonts w:cstheme="minorHAnsi"/>
                <w:sz w:val="24"/>
                <w:szCs w:val="24"/>
              </w:rPr>
              <w:t xml:space="preserve">questo </w:t>
            </w:r>
            <w:r w:rsidRPr="000D5CB1">
              <w:rPr>
                <w:rFonts w:cstheme="minorHAnsi"/>
                <w:sz w:val="24"/>
                <w:szCs w:val="24"/>
              </w:rPr>
              <w:t>aiuto di Stato è identico a quanto approvato</w:t>
            </w:r>
            <w:r w:rsidR="009F60DA">
              <w:rPr>
                <w:rFonts w:cstheme="minorHAnsi"/>
                <w:sz w:val="24"/>
                <w:szCs w:val="24"/>
              </w:rPr>
              <w:t xml:space="preserve"> dalle autorità competenti</w:t>
            </w:r>
            <w:r w:rsidR="00D90AF9">
              <w:rPr>
                <w:rFonts w:cstheme="minorHAnsi"/>
                <w:sz w:val="24"/>
                <w:szCs w:val="24"/>
              </w:rPr>
              <w:t xml:space="preserve"> nel PSR Marche 2014/20</w:t>
            </w:r>
            <w:r w:rsidRPr="000D5CB1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F2B0E" w:rsidRPr="000D5CB1" w:rsidTr="00FF2B0E">
        <w:tc>
          <w:tcPr>
            <w:tcW w:w="4889" w:type="dxa"/>
          </w:tcPr>
          <w:p w:rsidR="00FF2B0E" w:rsidRDefault="00727DE9" w:rsidP="005D02D6">
            <w:pPr>
              <w:jc w:val="both"/>
              <w:rPr>
                <w:rFonts w:cstheme="minorHAnsi"/>
                <w:sz w:val="24"/>
                <w:szCs w:val="24"/>
              </w:rPr>
            </w:pPr>
            <w:r w:rsidRPr="000D5CB1">
              <w:rPr>
                <w:rFonts w:cstheme="minorHAnsi"/>
                <w:sz w:val="24"/>
                <w:szCs w:val="24"/>
              </w:rPr>
              <w:t>Paragrafo 3.</w:t>
            </w:r>
          </w:p>
          <w:p w:rsidR="00264320" w:rsidRPr="000D5CB1" w:rsidRDefault="00264320" w:rsidP="005D02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19"/>
                <w:szCs w:val="19"/>
              </w:rPr>
              <w:t>La base giuridica della misura di aiuto precisa che la misura non verrà attuata prima dell'approvazione del pertinente programma di sviluppo rurale da parte della Commissione.</w:t>
            </w:r>
          </w:p>
        </w:tc>
        <w:tc>
          <w:tcPr>
            <w:tcW w:w="4889" w:type="dxa"/>
          </w:tcPr>
          <w:p w:rsidR="00FF2B0E" w:rsidRPr="000D5CB1" w:rsidRDefault="00727DE9" w:rsidP="00727DE9">
            <w:pPr>
              <w:jc w:val="both"/>
              <w:rPr>
                <w:rFonts w:cstheme="minorHAnsi"/>
                <w:sz w:val="24"/>
                <w:szCs w:val="24"/>
              </w:rPr>
            </w:pPr>
            <w:r w:rsidRPr="009A33A2">
              <w:rPr>
                <w:rFonts w:cstheme="minorHAnsi"/>
                <w:sz w:val="24"/>
                <w:szCs w:val="24"/>
              </w:rPr>
              <w:t xml:space="preserve">Non pertinente, il PSR Marche 2014/20 è già stato approvato e nulla è stato </w:t>
            </w:r>
            <w:r w:rsidR="00A755DC" w:rsidRPr="009A33A2">
              <w:rPr>
                <w:rFonts w:cstheme="minorHAnsi"/>
                <w:sz w:val="24"/>
                <w:szCs w:val="24"/>
              </w:rPr>
              <w:t>attuato prima.</w:t>
            </w:r>
          </w:p>
        </w:tc>
      </w:tr>
      <w:tr w:rsidR="00FF2B0E" w:rsidRPr="000D5CB1" w:rsidTr="00FF2B0E">
        <w:tc>
          <w:tcPr>
            <w:tcW w:w="4889" w:type="dxa"/>
          </w:tcPr>
          <w:p w:rsidR="00FF2B0E" w:rsidRDefault="00A755DC" w:rsidP="005D02D6">
            <w:pPr>
              <w:jc w:val="both"/>
              <w:rPr>
                <w:rFonts w:cstheme="minorHAnsi"/>
                <w:sz w:val="24"/>
                <w:szCs w:val="24"/>
              </w:rPr>
            </w:pPr>
            <w:r w:rsidRPr="000D5CB1">
              <w:rPr>
                <w:rFonts w:cstheme="minorHAnsi"/>
                <w:sz w:val="24"/>
                <w:szCs w:val="24"/>
              </w:rPr>
              <w:t>Paragrafo 4.</w:t>
            </w:r>
          </w:p>
          <w:p w:rsidR="00D90AF9" w:rsidRPr="000D5CB1" w:rsidRDefault="00D90AF9" w:rsidP="005D02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19"/>
                <w:szCs w:val="19"/>
              </w:rPr>
              <w:t>Gli aiuti sono erogati annualmente, per ettaro di foresta, per compensare i costi aggiuntivi e il mancato guadagno dovuti ai vincoli occasionati, nelle zone forestali di cui al paragrafo 5, dall'applicazione delle direttive 92/43/CEE e 2009/147/CE.</w:t>
            </w:r>
          </w:p>
        </w:tc>
        <w:tc>
          <w:tcPr>
            <w:tcW w:w="4889" w:type="dxa"/>
          </w:tcPr>
          <w:p w:rsidR="00FF2B0E" w:rsidRPr="000D5CB1" w:rsidRDefault="00A755DC" w:rsidP="00264320">
            <w:pPr>
              <w:jc w:val="both"/>
              <w:rPr>
                <w:rFonts w:cstheme="minorHAnsi"/>
                <w:sz w:val="24"/>
                <w:szCs w:val="24"/>
              </w:rPr>
            </w:pPr>
            <w:r w:rsidRPr="000D5CB1">
              <w:rPr>
                <w:rFonts w:cstheme="minorHAnsi"/>
                <w:sz w:val="24"/>
                <w:szCs w:val="24"/>
              </w:rPr>
              <w:t>Sì, paragrafo 8.2.</w:t>
            </w:r>
            <w:r w:rsidR="00D90AF9">
              <w:rPr>
                <w:rFonts w:cstheme="minorHAnsi"/>
                <w:sz w:val="24"/>
                <w:szCs w:val="24"/>
              </w:rPr>
              <w:t>12</w:t>
            </w:r>
            <w:r w:rsidRPr="000D5CB1">
              <w:rPr>
                <w:rFonts w:cstheme="minorHAnsi"/>
                <w:sz w:val="24"/>
                <w:szCs w:val="24"/>
              </w:rPr>
              <w:t>.3.</w:t>
            </w:r>
            <w:r w:rsidR="00D90AF9">
              <w:rPr>
                <w:rFonts w:cstheme="minorHAnsi"/>
                <w:sz w:val="24"/>
                <w:szCs w:val="24"/>
              </w:rPr>
              <w:t>2</w:t>
            </w:r>
            <w:r w:rsidRPr="000D5CB1">
              <w:rPr>
                <w:rFonts w:cstheme="minorHAnsi"/>
                <w:sz w:val="24"/>
                <w:szCs w:val="24"/>
              </w:rPr>
              <w:t>.</w:t>
            </w:r>
            <w:r w:rsidR="00264320">
              <w:rPr>
                <w:rFonts w:cstheme="minorHAnsi"/>
                <w:sz w:val="24"/>
                <w:szCs w:val="24"/>
              </w:rPr>
              <w:t>5</w:t>
            </w:r>
            <w:r w:rsidRPr="000D5CB1">
              <w:rPr>
                <w:rFonts w:cstheme="minorHAnsi"/>
                <w:sz w:val="24"/>
                <w:szCs w:val="24"/>
              </w:rPr>
              <w:t xml:space="preserve"> “Co</w:t>
            </w:r>
            <w:r w:rsidR="00264320">
              <w:rPr>
                <w:rFonts w:cstheme="minorHAnsi"/>
                <w:sz w:val="24"/>
                <w:szCs w:val="24"/>
              </w:rPr>
              <w:t>sti ammissibili</w:t>
            </w:r>
            <w:r w:rsidR="00D214BB">
              <w:rPr>
                <w:rFonts w:cstheme="minorHAnsi"/>
                <w:sz w:val="24"/>
                <w:szCs w:val="24"/>
              </w:rPr>
              <w:t>”</w:t>
            </w:r>
          </w:p>
        </w:tc>
      </w:tr>
      <w:tr w:rsidR="00FF2B0E" w:rsidRPr="000D5CB1" w:rsidTr="00FF2B0E">
        <w:tc>
          <w:tcPr>
            <w:tcW w:w="4889" w:type="dxa"/>
          </w:tcPr>
          <w:p w:rsidR="00FF2B0E" w:rsidRDefault="006320AF" w:rsidP="005D02D6">
            <w:pPr>
              <w:jc w:val="both"/>
              <w:rPr>
                <w:rFonts w:cstheme="minorHAnsi"/>
                <w:sz w:val="24"/>
                <w:szCs w:val="24"/>
              </w:rPr>
            </w:pPr>
            <w:r w:rsidRPr="000D5CB1">
              <w:rPr>
                <w:rFonts w:cstheme="minorHAnsi"/>
                <w:sz w:val="24"/>
                <w:szCs w:val="24"/>
              </w:rPr>
              <w:t>Paragrafo 5., lettera a)</w:t>
            </w:r>
          </w:p>
          <w:p w:rsidR="00264320" w:rsidRPr="000D5CB1" w:rsidRDefault="00264320" w:rsidP="005D02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19"/>
                <w:szCs w:val="19"/>
              </w:rPr>
              <w:t>a) le zone forestali Natura 2000 a norma dell'articolo 3 della direttiva 92/43/CEE e dell'articolo 3 della direttiva 2009/147/CE;</w:t>
            </w:r>
          </w:p>
        </w:tc>
        <w:tc>
          <w:tcPr>
            <w:tcW w:w="4889" w:type="dxa"/>
          </w:tcPr>
          <w:p w:rsidR="00264320" w:rsidRDefault="00264320" w:rsidP="0026432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SI, paragrafo </w:t>
            </w:r>
            <w:r w:rsidR="009A33A2" w:rsidRPr="000D5CB1">
              <w:rPr>
                <w:rFonts w:cstheme="minorHAnsi"/>
                <w:sz w:val="24"/>
                <w:szCs w:val="24"/>
              </w:rPr>
              <w:t>8.2.</w:t>
            </w:r>
            <w:r w:rsidR="009A33A2">
              <w:rPr>
                <w:rFonts w:cstheme="minorHAnsi"/>
                <w:sz w:val="24"/>
                <w:szCs w:val="24"/>
              </w:rPr>
              <w:t>12</w:t>
            </w:r>
            <w:r w:rsidR="009A33A2" w:rsidRPr="000D5CB1">
              <w:rPr>
                <w:rFonts w:cstheme="minorHAnsi"/>
                <w:sz w:val="24"/>
                <w:szCs w:val="24"/>
              </w:rPr>
              <w:t>.3.</w:t>
            </w:r>
            <w:r w:rsidR="009A33A2">
              <w:rPr>
                <w:rFonts w:cstheme="minorHAnsi"/>
                <w:sz w:val="24"/>
                <w:szCs w:val="24"/>
              </w:rPr>
              <w:t>2</w:t>
            </w:r>
            <w:r w:rsidR="009A33A2" w:rsidRPr="000D5CB1">
              <w:rPr>
                <w:rFonts w:cstheme="minorHAnsi"/>
                <w:sz w:val="24"/>
                <w:szCs w:val="24"/>
              </w:rPr>
              <w:t>.</w:t>
            </w:r>
            <w:r w:rsidR="009A33A2">
              <w:rPr>
                <w:rFonts w:cstheme="minorHAnsi"/>
                <w:sz w:val="24"/>
                <w:szCs w:val="24"/>
              </w:rPr>
              <w:t>6</w:t>
            </w:r>
            <w:r w:rsidR="009A33A2" w:rsidRPr="000D5CB1">
              <w:rPr>
                <w:rFonts w:cstheme="minorHAnsi"/>
                <w:sz w:val="24"/>
                <w:szCs w:val="24"/>
              </w:rPr>
              <w:t xml:space="preserve"> </w:t>
            </w:r>
            <w:r w:rsidRPr="000D5CB1">
              <w:rPr>
                <w:rFonts w:cstheme="minorHAnsi"/>
                <w:sz w:val="24"/>
                <w:szCs w:val="24"/>
              </w:rPr>
              <w:t xml:space="preserve">“Condizioni di ammissibilità”, punto </w:t>
            </w:r>
            <w:r>
              <w:rPr>
                <w:rFonts w:cstheme="minorHAnsi"/>
                <w:sz w:val="24"/>
                <w:szCs w:val="24"/>
              </w:rPr>
              <w:t xml:space="preserve">1. Si prevede che la misura sia applicabile in </w:t>
            </w:r>
            <w:r w:rsidRPr="00264320">
              <w:rPr>
                <w:rFonts w:cstheme="minorHAnsi"/>
                <w:sz w:val="24"/>
                <w:szCs w:val="24"/>
              </w:rPr>
              <w:t>tutte le zone individuate dalla Regione Marche ai sensi, della Direttiva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64320">
              <w:rPr>
                <w:rFonts w:cstheme="minorHAnsi"/>
                <w:sz w:val="24"/>
                <w:szCs w:val="24"/>
              </w:rPr>
              <w:t>concernente la conservazione degli uccelli selvatici (2009/147/CE) e della Direttiva riguardante la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64320">
              <w:rPr>
                <w:rFonts w:cstheme="minorHAnsi"/>
                <w:sz w:val="24"/>
                <w:szCs w:val="24"/>
              </w:rPr>
              <w:t xml:space="preserve">conservazione degli habitat naturali e </w:t>
            </w:r>
            <w:proofErr w:type="spellStart"/>
            <w:r w:rsidRPr="00264320">
              <w:rPr>
                <w:rFonts w:cstheme="minorHAnsi"/>
                <w:sz w:val="24"/>
                <w:szCs w:val="24"/>
              </w:rPr>
              <w:t>seminaturali</w:t>
            </w:r>
            <w:proofErr w:type="spellEnd"/>
            <w:r w:rsidRPr="00264320">
              <w:rPr>
                <w:rFonts w:cstheme="minorHAnsi"/>
                <w:sz w:val="24"/>
                <w:szCs w:val="24"/>
              </w:rPr>
              <w:t xml:space="preserve"> e della flora e della fauna selvatiche (92/43/CEE)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64320">
              <w:rPr>
                <w:rFonts w:cstheme="minorHAnsi"/>
                <w:sz w:val="24"/>
                <w:szCs w:val="24"/>
              </w:rPr>
              <w:t xml:space="preserve">in cui sono previste le misure di conservazione </w:t>
            </w:r>
            <w:r w:rsidRPr="00264320">
              <w:rPr>
                <w:rFonts w:cstheme="minorHAnsi"/>
                <w:sz w:val="24"/>
                <w:szCs w:val="24"/>
              </w:rPr>
              <w:lastRenderedPageBreak/>
              <w:t>specificamente richiamate</w:t>
            </w:r>
          </w:p>
          <w:p w:rsidR="00E96E3A" w:rsidRPr="000D5CB1" w:rsidRDefault="00E96E3A" w:rsidP="0026432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F2B0E" w:rsidRPr="000D5CB1" w:rsidTr="00FF2B0E">
        <w:tc>
          <w:tcPr>
            <w:tcW w:w="4889" w:type="dxa"/>
          </w:tcPr>
          <w:p w:rsidR="00FF2B0E" w:rsidRDefault="006320AF" w:rsidP="005D02D6">
            <w:pPr>
              <w:jc w:val="both"/>
              <w:rPr>
                <w:rFonts w:cstheme="minorHAnsi"/>
                <w:sz w:val="24"/>
                <w:szCs w:val="24"/>
              </w:rPr>
            </w:pPr>
            <w:r w:rsidRPr="000D5CB1">
              <w:rPr>
                <w:rFonts w:cstheme="minorHAnsi"/>
                <w:sz w:val="24"/>
                <w:szCs w:val="24"/>
              </w:rPr>
              <w:lastRenderedPageBreak/>
              <w:t>Paragrafo 5., lettera b)</w:t>
            </w:r>
          </w:p>
          <w:p w:rsidR="00264320" w:rsidRPr="000D5CB1" w:rsidRDefault="00264320" w:rsidP="005D02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19"/>
                <w:szCs w:val="19"/>
              </w:rPr>
              <w:t>b)</w:t>
            </w:r>
            <w:r w:rsidR="009A33A2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elementi del paesaggio che contribuiscono all'attuazione dell'articolo 10 della direttiva 92/43/CEE; tali aree non superano il 5 % dei siti compresi nella rete Natura 2000 coperti dal campo di applicazione territoriale del relativo programma di sviluppo rurale.</w:t>
            </w:r>
          </w:p>
        </w:tc>
        <w:tc>
          <w:tcPr>
            <w:tcW w:w="4889" w:type="dxa"/>
          </w:tcPr>
          <w:p w:rsidR="00FF2B0E" w:rsidRPr="009A33A2" w:rsidRDefault="00264320" w:rsidP="0011224A">
            <w:pPr>
              <w:jc w:val="both"/>
              <w:rPr>
                <w:rFonts w:cstheme="minorHAnsi"/>
                <w:sz w:val="24"/>
                <w:szCs w:val="24"/>
              </w:rPr>
            </w:pPr>
            <w:r w:rsidRPr="009A33A2">
              <w:rPr>
                <w:rFonts w:cstheme="minorHAnsi"/>
                <w:sz w:val="24"/>
                <w:szCs w:val="24"/>
              </w:rPr>
              <w:t>Non pertinente in quanto non previsto dalla scheda di misura</w:t>
            </w:r>
          </w:p>
        </w:tc>
      </w:tr>
      <w:tr w:rsidR="00FF2B0E" w:rsidRPr="000D5CB1" w:rsidTr="00FF2B0E">
        <w:tc>
          <w:tcPr>
            <w:tcW w:w="4889" w:type="dxa"/>
          </w:tcPr>
          <w:p w:rsidR="00FF2B0E" w:rsidRDefault="0011224A" w:rsidP="003173A3">
            <w:pPr>
              <w:jc w:val="both"/>
              <w:rPr>
                <w:rFonts w:cstheme="minorHAnsi"/>
                <w:sz w:val="24"/>
                <w:szCs w:val="24"/>
              </w:rPr>
            </w:pPr>
            <w:r w:rsidRPr="000D5CB1">
              <w:rPr>
                <w:rFonts w:cstheme="minorHAnsi"/>
                <w:sz w:val="24"/>
                <w:szCs w:val="24"/>
              </w:rPr>
              <w:t xml:space="preserve">Paragrafo </w:t>
            </w:r>
            <w:r w:rsidR="003173A3">
              <w:rPr>
                <w:rFonts w:cstheme="minorHAnsi"/>
                <w:sz w:val="24"/>
                <w:szCs w:val="24"/>
              </w:rPr>
              <w:t>6</w:t>
            </w:r>
          </w:p>
          <w:p w:rsidR="000B7A8F" w:rsidRDefault="00264320" w:rsidP="003173A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Gli aiuti sono limitati al massimale di 500 EUR per ettaro/anno nel periodo iniziale non superiore a cinque anni e di 200 EUR per ettaro/anno al di là di tale periodo.</w:t>
            </w:r>
            <w:r w:rsidR="000B7A8F">
              <w:rPr>
                <w:sz w:val="19"/>
                <w:szCs w:val="19"/>
              </w:rPr>
              <w:t xml:space="preserve"> </w:t>
            </w:r>
          </w:p>
          <w:p w:rsidR="00AD3802" w:rsidRDefault="00AD3802" w:rsidP="003173A3">
            <w:pPr>
              <w:jc w:val="both"/>
              <w:rPr>
                <w:sz w:val="19"/>
                <w:szCs w:val="19"/>
              </w:rPr>
            </w:pPr>
          </w:p>
          <w:p w:rsidR="00AD3802" w:rsidRDefault="00AD3802" w:rsidP="003173A3">
            <w:pPr>
              <w:jc w:val="both"/>
              <w:rPr>
                <w:sz w:val="19"/>
                <w:szCs w:val="19"/>
              </w:rPr>
            </w:pPr>
          </w:p>
          <w:p w:rsidR="00264320" w:rsidRPr="000D5CB1" w:rsidRDefault="000B7A8F" w:rsidP="003173A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19"/>
                <w:szCs w:val="19"/>
              </w:rPr>
              <w:t>Gli Stati membri deducono dall'aiuto l'importo necessario per impedire il doppio finanziamento delle pratiche di cui all'articolo 29 del regolamento (UE) n. 1307/2013.</w:t>
            </w:r>
          </w:p>
        </w:tc>
        <w:tc>
          <w:tcPr>
            <w:tcW w:w="4889" w:type="dxa"/>
          </w:tcPr>
          <w:p w:rsidR="00AD3802" w:rsidRDefault="00AD3802" w:rsidP="0026432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FF2B0E" w:rsidRDefault="00264320" w:rsidP="0026432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Si, come indicato nel </w:t>
            </w:r>
            <w:r w:rsidR="0011224A" w:rsidRPr="000D5CB1">
              <w:rPr>
                <w:rFonts w:cstheme="minorHAnsi"/>
                <w:sz w:val="24"/>
                <w:szCs w:val="24"/>
              </w:rPr>
              <w:t>paragrafo 8.2.</w:t>
            </w:r>
            <w:r>
              <w:rPr>
                <w:rFonts w:cstheme="minorHAnsi"/>
                <w:sz w:val="24"/>
                <w:szCs w:val="24"/>
              </w:rPr>
              <w:t>12</w:t>
            </w:r>
            <w:r w:rsidR="0011224A" w:rsidRPr="000D5CB1">
              <w:rPr>
                <w:rFonts w:cstheme="minorHAnsi"/>
                <w:sz w:val="24"/>
                <w:szCs w:val="24"/>
              </w:rPr>
              <w:t>.3.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11224A" w:rsidRPr="000D5CB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="0011224A" w:rsidRPr="000D5CB1">
              <w:rPr>
                <w:rFonts w:cstheme="minorHAnsi"/>
                <w:sz w:val="24"/>
                <w:szCs w:val="24"/>
              </w:rPr>
              <w:t xml:space="preserve"> “</w:t>
            </w:r>
            <w:r>
              <w:rPr>
                <w:rFonts w:cstheme="minorHAnsi"/>
                <w:sz w:val="24"/>
                <w:szCs w:val="24"/>
              </w:rPr>
              <w:t>Importi e aliquote di sostegno applicabili</w:t>
            </w:r>
            <w:r w:rsidR="0011224A" w:rsidRPr="000D5CB1">
              <w:rPr>
                <w:rFonts w:cstheme="minorHAnsi"/>
                <w:sz w:val="24"/>
                <w:szCs w:val="24"/>
              </w:rPr>
              <w:t>”</w:t>
            </w:r>
            <w:r>
              <w:rPr>
                <w:rFonts w:cstheme="minorHAnsi"/>
                <w:sz w:val="24"/>
                <w:szCs w:val="24"/>
              </w:rPr>
              <w:t xml:space="preserve"> il costo massimo erogabile per ettaro di superficie è pari a 200 EUR</w:t>
            </w:r>
          </w:p>
          <w:p w:rsidR="00AD3802" w:rsidRPr="00AD3802" w:rsidRDefault="000B7A8F" w:rsidP="00AD3802">
            <w:pPr>
              <w:jc w:val="both"/>
              <w:rPr>
                <w:rFonts w:cstheme="minorHAnsi"/>
                <w:sz w:val="24"/>
                <w:szCs w:val="24"/>
              </w:rPr>
            </w:pPr>
            <w:r w:rsidRPr="00AD3802">
              <w:rPr>
                <w:rFonts w:cstheme="minorHAnsi"/>
                <w:sz w:val="24"/>
                <w:szCs w:val="24"/>
              </w:rPr>
              <w:t>SI, come spe</w:t>
            </w:r>
            <w:bookmarkStart w:id="0" w:name="_GoBack"/>
            <w:bookmarkEnd w:id="0"/>
            <w:r w:rsidRPr="00AD3802">
              <w:rPr>
                <w:rFonts w:cstheme="minorHAnsi"/>
                <w:sz w:val="24"/>
                <w:szCs w:val="24"/>
              </w:rPr>
              <w:t>cificato nel paragrafo 8.2.12.5 a livello di misura</w:t>
            </w:r>
            <w:r w:rsidR="00AD3802" w:rsidRPr="00AD3802">
              <w:rPr>
                <w:rFonts w:cstheme="minorHAnsi"/>
                <w:sz w:val="24"/>
                <w:szCs w:val="24"/>
              </w:rPr>
              <w:t xml:space="preserve">. Si impedisce pertanto la  possibilità del </w:t>
            </w:r>
            <w:r w:rsidR="00AD3802" w:rsidRPr="00AD3802">
              <w:rPr>
                <w:rFonts w:cstheme="minorHAnsi"/>
                <w:sz w:val="24"/>
                <w:szCs w:val="24"/>
              </w:rPr>
              <w:t>doppio finanziamento</w:t>
            </w:r>
            <w:r w:rsidR="00AD3802" w:rsidRPr="00AD3802">
              <w:rPr>
                <w:rFonts w:cstheme="minorHAnsi"/>
                <w:sz w:val="24"/>
                <w:szCs w:val="24"/>
              </w:rPr>
              <w:t xml:space="preserve"> avendo controllato che non vi sia sovrapposizione fra le operazioni contemplate con la misura 12.2 e quelle previste dall’articolo 29 del Reg UE 1307/2013</w:t>
            </w:r>
          </w:p>
          <w:p w:rsidR="000B7A8F" w:rsidRPr="000D5CB1" w:rsidRDefault="000B7A8F" w:rsidP="00AD380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5D02D6" w:rsidRDefault="005D02D6" w:rsidP="005D02D6">
      <w:pPr>
        <w:spacing w:after="0" w:line="240" w:lineRule="auto"/>
        <w:jc w:val="both"/>
      </w:pPr>
    </w:p>
    <w:sectPr w:rsidR="005D02D6" w:rsidSect="001B755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C62"/>
    <w:multiLevelType w:val="hybridMultilevel"/>
    <w:tmpl w:val="215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">
    <w:nsid w:val="1BAE247F"/>
    <w:multiLevelType w:val="hybridMultilevel"/>
    <w:tmpl w:val="4CC0DF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68"/>
    <w:rsid w:val="000B7A8F"/>
    <w:rsid w:val="000D5CB1"/>
    <w:rsid w:val="000E3333"/>
    <w:rsid w:val="0011224A"/>
    <w:rsid w:val="00157B27"/>
    <w:rsid w:val="001B7550"/>
    <w:rsid w:val="00236168"/>
    <w:rsid w:val="00264320"/>
    <w:rsid w:val="003173A3"/>
    <w:rsid w:val="00321999"/>
    <w:rsid w:val="003A6332"/>
    <w:rsid w:val="00490F40"/>
    <w:rsid w:val="00492CE7"/>
    <w:rsid w:val="005D02D6"/>
    <w:rsid w:val="006320AF"/>
    <w:rsid w:val="006E484A"/>
    <w:rsid w:val="00727DE9"/>
    <w:rsid w:val="009A33A2"/>
    <w:rsid w:val="009F60DA"/>
    <w:rsid w:val="00A755DC"/>
    <w:rsid w:val="00AC7A33"/>
    <w:rsid w:val="00AD3802"/>
    <w:rsid w:val="00B96273"/>
    <w:rsid w:val="00BA25C9"/>
    <w:rsid w:val="00BC0C8A"/>
    <w:rsid w:val="00CC6A39"/>
    <w:rsid w:val="00D214BB"/>
    <w:rsid w:val="00D90AF9"/>
    <w:rsid w:val="00E95E5C"/>
    <w:rsid w:val="00E96E3A"/>
    <w:rsid w:val="00EE7D4A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2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99"/>
    <w:qFormat/>
    <w:rsid w:val="00FF2B0E"/>
    <w:pPr>
      <w:ind w:left="720"/>
      <w:contextualSpacing/>
    </w:pPr>
  </w:style>
  <w:style w:type="paragraph" w:customStyle="1" w:styleId="Text1">
    <w:name w:val="Text 1"/>
    <w:basedOn w:val="Normale"/>
    <w:rsid w:val="00727DE9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2">
    <w:name w:val="Point 2"/>
    <w:basedOn w:val="Normale"/>
    <w:rsid w:val="00727DE9"/>
    <w:pPr>
      <w:spacing w:before="120" w:after="120" w:line="240" w:lineRule="auto"/>
      <w:ind w:left="1984" w:hanging="56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umPar1">
    <w:name w:val="NumPar 1"/>
    <w:basedOn w:val="Normale"/>
    <w:next w:val="Text1"/>
    <w:rsid w:val="00727DE9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umPar2">
    <w:name w:val="NumPar 2"/>
    <w:basedOn w:val="Normale"/>
    <w:next w:val="Text1"/>
    <w:rsid w:val="00727DE9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umPar3">
    <w:name w:val="NumPar 3"/>
    <w:basedOn w:val="Normale"/>
    <w:next w:val="Text1"/>
    <w:rsid w:val="00727DE9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umPar4">
    <w:name w:val="NumPar 4"/>
    <w:basedOn w:val="Normale"/>
    <w:next w:val="Text1"/>
    <w:rsid w:val="00727DE9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0number">
    <w:name w:val="Point 0 (number)"/>
    <w:basedOn w:val="Normale"/>
    <w:rsid w:val="00727DE9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1number">
    <w:name w:val="Point 1 (number)"/>
    <w:basedOn w:val="Normale"/>
    <w:rsid w:val="00727DE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2number">
    <w:name w:val="Point 2 (number)"/>
    <w:basedOn w:val="Normale"/>
    <w:rsid w:val="00727DE9"/>
    <w:pPr>
      <w:numPr>
        <w:ilvl w:val="4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3number">
    <w:name w:val="Point 3 (number)"/>
    <w:basedOn w:val="Normale"/>
    <w:rsid w:val="00727DE9"/>
    <w:pPr>
      <w:numPr>
        <w:ilvl w:val="6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0letter">
    <w:name w:val="Point 0 (letter)"/>
    <w:basedOn w:val="Normale"/>
    <w:rsid w:val="00727DE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1letter">
    <w:name w:val="Point 1 (letter)"/>
    <w:basedOn w:val="Normale"/>
    <w:rsid w:val="00727DE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2letter">
    <w:name w:val="Point 2 (letter)"/>
    <w:basedOn w:val="Normale"/>
    <w:rsid w:val="00727DE9"/>
    <w:pPr>
      <w:numPr>
        <w:ilvl w:val="5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3letter">
    <w:name w:val="Point 3 (letter)"/>
    <w:basedOn w:val="Normale"/>
    <w:rsid w:val="00727DE9"/>
    <w:pPr>
      <w:numPr>
        <w:ilvl w:val="7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4letter">
    <w:name w:val="Point 4 (letter)"/>
    <w:basedOn w:val="Normale"/>
    <w:rsid w:val="00727DE9"/>
    <w:pPr>
      <w:numPr>
        <w:ilvl w:val="8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locked/>
    <w:rsid w:val="00E96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2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99"/>
    <w:qFormat/>
    <w:rsid w:val="00FF2B0E"/>
    <w:pPr>
      <w:ind w:left="720"/>
      <w:contextualSpacing/>
    </w:pPr>
  </w:style>
  <w:style w:type="paragraph" w:customStyle="1" w:styleId="Text1">
    <w:name w:val="Text 1"/>
    <w:basedOn w:val="Normale"/>
    <w:rsid w:val="00727DE9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2">
    <w:name w:val="Point 2"/>
    <w:basedOn w:val="Normale"/>
    <w:rsid w:val="00727DE9"/>
    <w:pPr>
      <w:spacing w:before="120" w:after="120" w:line="240" w:lineRule="auto"/>
      <w:ind w:left="1984" w:hanging="56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umPar1">
    <w:name w:val="NumPar 1"/>
    <w:basedOn w:val="Normale"/>
    <w:next w:val="Text1"/>
    <w:rsid w:val="00727DE9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umPar2">
    <w:name w:val="NumPar 2"/>
    <w:basedOn w:val="Normale"/>
    <w:next w:val="Text1"/>
    <w:rsid w:val="00727DE9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umPar3">
    <w:name w:val="NumPar 3"/>
    <w:basedOn w:val="Normale"/>
    <w:next w:val="Text1"/>
    <w:rsid w:val="00727DE9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umPar4">
    <w:name w:val="NumPar 4"/>
    <w:basedOn w:val="Normale"/>
    <w:next w:val="Text1"/>
    <w:rsid w:val="00727DE9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0number">
    <w:name w:val="Point 0 (number)"/>
    <w:basedOn w:val="Normale"/>
    <w:rsid w:val="00727DE9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1number">
    <w:name w:val="Point 1 (number)"/>
    <w:basedOn w:val="Normale"/>
    <w:rsid w:val="00727DE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2number">
    <w:name w:val="Point 2 (number)"/>
    <w:basedOn w:val="Normale"/>
    <w:rsid w:val="00727DE9"/>
    <w:pPr>
      <w:numPr>
        <w:ilvl w:val="4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3number">
    <w:name w:val="Point 3 (number)"/>
    <w:basedOn w:val="Normale"/>
    <w:rsid w:val="00727DE9"/>
    <w:pPr>
      <w:numPr>
        <w:ilvl w:val="6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0letter">
    <w:name w:val="Point 0 (letter)"/>
    <w:basedOn w:val="Normale"/>
    <w:rsid w:val="00727DE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1letter">
    <w:name w:val="Point 1 (letter)"/>
    <w:basedOn w:val="Normale"/>
    <w:rsid w:val="00727DE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2letter">
    <w:name w:val="Point 2 (letter)"/>
    <w:basedOn w:val="Normale"/>
    <w:rsid w:val="00727DE9"/>
    <w:pPr>
      <w:numPr>
        <w:ilvl w:val="5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3letter">
    <w:name w:val="Point 3 (letter)"/>
    <w:basedOn w:val="Normale"/>
    <w:rsid w:val="00727DE9"/>
    <w:pPr>
      <w:numPr>
        <w:ilvl w:val="7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oint4letter">
    <w:name w:val="Point 4 (letter)"/>
    <w:basedOn w:val="Normale"/>
    <w:rsid w:val="00727DE9"/>
    <w:pPr>
      <w:numPr>
        <w:ilvl w:val="8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locked/>
    <w:rsid w:val="00E96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Ciccalè</dc:creator>
  <cp:lastModifiedBy>Andrea Bordoni</cp:lastModifiedBy>
  <cp:revision>5</cp:revision>
  <cp:lastPrinted>2015-11-16T10:36:00Z</cp:lastPrinted>
  <dcterms:created xsi:type="dcterms:W3CDTF">2017-04-03T09:59:00Z</dcterms:created>
  <dcterms:modified xsi:type="dcterms:W3CDTF">2017-04-03T11:20:00Z</dcterms:modified>
</cp:coreProperties>
</file>